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ACBBA3">
      <w:pPr>
        <w:pageBreakBefore w:val="0"/>
        <w:kinsoku/>
        <w:wordWrap/>
        <w:overflowPunct/>
        <w:topLinePunct w:val="0"/>
        <w:autoSpaceDE/>
        <w:autoSpaceDN/>
        <w:bidi w:val="0"/>
        <w:adjustRightInd/>
        <w:snapToGrid/>
        <w:spacing w:line="592" w:lineRule="exact"/>
        <w:outlineLvl w:val="1"/>
        <w:rPr>
          <w:rFonts w:hint="default" w:ascii="Times New Roman" w:hAnsi="Times New Roman" w:eastAsia="黑体" w:cs="Times New Roman"/>
          <w:color w:val="000000"/>
          <w:kern w:val="2"/>
          <w:sz w:val="32"/>
          <w:szCs w:val="32"/>
          <w:lang w:val="en-US" w:eastAsia="zh-CN" w:bidi="ar-SA"/>
        </w:rPr>
      </w:pPr>
      <w:r>
        <w:rPr>
          <w:rFonts w:hint="default" w:ascii="Times New Roman" w:hAnsi="Times New Roman" w:eastAsia="黑体" w:cs="Times New Roman"/>
          <w:color w:val="000000"/>
          <w:kern w:val="2"/>
          <w:sz w:val="32"/>
          <w:szCs w:val="32"/>
          <w:lang w:val="en-US" w:eastAsia="zh-CN" w:bidi="ar-SA"/>
        </w:rPr>
        <w:t>附件3</w:t>
      </w:r>
    </w:p>
    <w:p w14:paraId="3B06F047">
      <w:pPr>
        <w:pageBreakBefore w:val="0"/>
        <w:kinsoku/>
        <w:wordWrap/>
        <w:overflowPunct/>
        <w:topLinePunct w:val="0"/>
        <w:autoSpaceDE/>
        <w:autoSpaceDN/>
        <w:bidi w:val="0"/>
        <w:adjustRightInd/>
        <w:snapToGrid/>
        <w:spacing w:line="592" w:lineRule="exact"/>
        <w:jc w:val="center"/>
        <w:rPr>
          <w:rFonts w:hint="default" w:ascii="Times New Roman" w:hAnsi="Times New Roman" w:eastAsia="方正小标宋简体" w:cs="Times New Roman"/>
          <w:b w:val="0"/>
          <w:bCs w:val="0"/>
          <w:i w:val="0"/>
          <w:iCs w:val="0"/>
          <w:color w:val="000000"/>
          <w:kern w:val="0"/>
          <w:sz w:val="44"/>
          <w:szCs w:val="44"/>
          <w:u w:val="none"/>
          <w:lang w:val="en-US" w:eastAsia="zh-CN" w:bidi="ar"/>
        </w:rPr>
      </w:pPr>
      <w:r>
        <w:rPr>
          <w:rFonts w:hint="default" w:ascii="Times New Roman" w:hAnsi="Times New Roman" w:eastAsia="方正小标宋简体" w:cs="Times New Roman"/>
          <w:b w:val="0"/>
          <w:bCs w:val="0"/>
          <w:i w:val="0"/>
          <w:iCs w:val="0"/>
          <w:color w:val="000000"/>
          <w:kern w:val="0"/>
          <w:sz w:val="44"/>
          <w:szCs w:val="44"/>
          <w:u w:val="none"/>
          <w:lang w:val="en-US" w:eastAsia="zh-CN" w:bidi="ar"/>
        </w:rPr>
        <w:t>场景案例清单</w:t>
      </w:r>
    </w:p>
    <w:tbl>
      <w:tblPr>
        <w:tblStyle w:val="4"/>
        <w:tblW w:w="156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32"/>
        <w:gridCol w:w="1240"/>
        <w:gridCol w:w="1400"/>
        <w:gridCol w:w="3880"/>
        <w:gridCol w:w="3890"/>
        <w:gridCol w:w="3300"/>
        <w:gridCol w:w="1219"/>
      </w:tblGrid>
      <w:tr w14:paraId="173D4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4BB403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序号</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57E14E8">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行业领域</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56D0F24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val="0"/>
                <w:i w:val="0"/>
                <w:iCs w:val="0"/>
                <w:color w:val="000000"/>
                <w:kern w:val="0"/>
                <w:sz w:val="24"/>
                <w:szCs w:val="24"/>
                <w:u w:val="none"/>
                <w:lang w:val="en-US" w:eastAsia="zh-CN" w:bidi="ar"/>
              </w:rPr>
            </w:pPr>
            <w:r>
              <w:rPr>
                <w:rFonts w:hint="default" w:ascii="Times New Roman" w:hAnsi="Times New Roman" w:eastAsia="方正黑体_GBK" w:cs="Times New Roman"/>
                <w:b w:val="0"/>
                <w:bCs w:val="0"/>
                <w:i w:val="0"/>
                <w:iCs w:val="0"/>
                <w:color w:val="000000"/>
                <w:kern w:val="0"/>
                <w:sz w:val="24"/>
                <w:szCs w:val="24"/>
                <w:u w:val="none"/>
                <w:lang w:val="en-US" w:eastAsia="zh-CN" w:bidi="ar"/>
              </w:rPr>
              <w:t>场景案例</w:t>
            </w:r>
          </w:p>
          <w:p w14:paraId="621E99E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项目名称</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40DB63C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项目背景及简介</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1AD0520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创新性</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6C6FC9F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项目推广价值</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6F28C13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所属单位</w:t>
            </w:r>
          </w:p>
        </w:tc>
      </w:tr>
      <w:tr w14:paraId="2C219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5CA646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64CF34B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新能源及绿色低碳</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53BB248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芜湖大阳垾片区</w:t>
            </w:r>
            <w:r>
              <w:rPr>
                <w:rFonts w:hint="eastAsia" w:ascii="Times New Roman" w:hAnsi="Times New Roman" w:eastAsia="方正仿宋_GB2312" w:cs="Times New Roman"/>
                <w:i w:val="0"/>
                <w:iCs w:val="0"/>
                <w:color w:val="000000"/>
                <w:kern w:val="0"/>
                <w:sz w:val="24"/>
                <w:szCs w:val="24"/>
                <w:u w:val="none"/>
                <w:lang w:val="en-US" w:eastAsia="zh-CN" w:bidi="ar"/>
              </w:rPr>
              <w:t>“双碳”</w:t>
            </w:r>
            <w:r>
              <w:rPr>
                <w:rFonts w:hint="default" w:ascii="Times New Roman" w:hAnsi="Times New Roman" w:eastAsia="方正仿宋_GB2312" w:cs="Times New Roman"/>
                <w:i w:val="0"/>
                <w:iCs w:val="0"/>
                <w:color w:val="000000"/>
                <w:kern w:val="0"/>
                <w:sz w:val="24"/>
                <w:szCs w:val="24"/>
                <w:u w:val="none"/>
                <w:lang w:val="en-US" w:eastAsia="zh-CN" w:bidi="ar"/>
              </w:rPr>
              <w:t>赋能生态化海绵城市更新场景</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301579A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项目位于芜湖市鸠江区，整个片区面积约9.17平方公里，涵盖5个社区，常住人口10.9万人。针对项目实施前存在的水环境及水安全等问题，通过构建“源头减排</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过程控制</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末端治理</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智慧赋能”的系统方案，进行海绵化改造与生态治理。创新运用“螺蚌鱼草立体修复”技术实现水质提升，同时将内涝防治标准提高到30年一遇。项目还将治水设施转化为游憩科普互动空间，带动了土地增值与绿色业态，为长江大保护与城市绿色更新提供了可复制的示范样板。</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3216841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项目核心创新在于采用“螺蚌鱼草立体修复技术”，构建了“生产者</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消费者</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分解者”完整水生态系统，突破传统植物净化局限。通过科学配置滤食性蚌类、刮食性螺类及微生物菌群，形成健康水生生态链，实现氮、磷等污染物高效原位转化与移除。运行数据显示，总氮、总磷去除率分别提升35%和40%，出水水质达地表水Ⅳ类标准，悬浮物削减率高达68.6%，显著提升水体透明度与生态稳定性。同时，针对雨水排口，创新设置“生态塘+螺蚌鱼草强化净化带”，通过重力沉降、生物过滤与根系吸收构建多级串联净化单元，实现溶解态污染物及细微颗粒的深度净化。</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47A9B78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针对原有植被杂乱、亲水性差、功能单一等问题，项目累计完成约19万m³湖体清淤，实施约48万m²水域生态修复，系统构建多级水循环净化体系，使水体恢复至地表Ⅳ类标准，重现“澄澈湖面”。改造后新增环湖跑道、人工沙滩、连通栈道及“净水叠境”等兼具净化与科普功能的海绵节点，将专业设施转化为市民可感知、可休憩的高品质公共空间，提升了片区宜居性与市民幸福感。项目实现了从“城市中的公园”向“公园中的城市”转变，有效增强了社会生态意识，生动诠释了“人水和美”的图景。</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4F75FC9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安徽水韵环保股份有限公司</w:t>
            </w:r>
          </w:p>
        </w:tc>
      </w:tr>
      <w:tr w14:paraId="1B8D5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09B515C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2</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542EC79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高端装备制造</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58B695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基于光纤传感的高速公路安全智能监测系统</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623E708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本项目依托国家重点研发计划颠覆性技术创新专项“快速全智能光纤传感成像预警系统”，紧扣交通强国、量子科技两大国家战略，融合量子精密测量、分布式光纤传感与人工智能技术，搭建基于光纤传感的高速公路安全智能监测系统。针对传统高速点式监测设备极端环境可靠性差、寿命短、建设运维成本高、预警能力不足等痛点，项目创新复用高速公路既有通信光纤，构建全域连续分布式传感监测阵列，无需新增大量硬件设备，即可实现异常交通事件监测、道路塌陷与自然灾害预警、桥梁结构健康评定等核心能力，有效解决了传统监测覆盖有限、成本偏高、预警滞后等行业难题。</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2976EC2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融合分布式光纤传感与量子精密测量技术，自主研发分布式光纤声波/振动监测仪（ZD-DAS）、背景噪声成像算法及异常交通事件识别模型等核心技术产品，复用高速公路存量通信光缆搭建全域连续传感阵列，完成路网全域风险感知。本项目由智地感知、安徽交控道路养护有限公司、安徽省交通控股集团有限公司协同攻关，累计投入研发资金500余万元</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系统具备异常交通事件监测、道路塌陷与自然灾害预警、桥梁结构健康评定等核心能力，创新形成国内首个“量子+高速”一体化监测示范方案，相关应用成果获评交通部2024年高速公路监测预警典型示范案例。迭代方面，持续优化量子增强光纤传感（DAS）硬件核心性能，强化长距离微弱信号采集精度与分布式定位效果；扩充多场景工况信号特征样本库，优化算法研判逻辑，实现多类安全风险同步识别、分层分级预警，全面提升系统全域感知与智能分析处置能力。</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5565974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eastAsia" w:ascii="Times New Roman" w:hAnsi="Times New Roman" w:eastAsia="方正仿宋_GB2312" w:cs="Times New Roman"/>
                <w:i w:val="0"/>
                <w:iCs w:val="0"/>
                <w:color w:val="000000"/>
                <w:kern w:val="0"/>
                <w:sz w:val="24"/>
                <w:szCs w:val="24"/>
                <w:u w:val="none"/>
                <w:lang w:val="en-US" w:eastAsia="zh-CN" w:bidi="ar"/>
              </w:rPr>
              <w:t>系统复用既有通信光纤，无需大规模新增监测设备，较传统方案建设成本节省50%以上、运维成本节省80%以上；同时实现交通异常、地质灾害与结构病害的提前预警，有效规避拥堵、事故及道路损毁等问题，减少抢修、管制与事故赔付等间接损失，显著提升高速运营经济效益。系统具备全域高精度监测能力，可提前预判风险，有效防范重特大事故，最大限度减少人员伤亡与财产损失，提升路网安全管控与应急处置水平，社会效益显著。项目突破传统点式监测技术瓶颈，创新构建全域覆盖、多目标监测、低成本运维</w:t>
            </w:r>
            <w:r>
              <w:rPr>
                <w:rFonts w:hint="default" w:ascii="Times New Roman" w:hAnsi="Times New Roman" w:eastAsia="方正仿宋_GB2312" w:cs="Times New Roman"/>
                <w:i w:val="0"/>
                <w:iCs w:val="0"/>
                <w:color w:val="000000"/>
                <w:kern w:val="0"/>
                <w:sz w:val="24"/>
                <w:szCs w:val="24"/>
                <w:u w:val="none"/>
                <w:lang w:val="en-US" w:eastAsia="zh-CN" w:bidi="ar"/>
              </w:rPr>
              <w:t>、全生命周期管控的高速公路智能监测新范式</w:t>
            </w:r>
            <w:r>
              <w:rPr>
                <w:rFonts w:hint="eastAsia" w:ascii="Times New Roman" w:hAnsi="Times New Roman" w:eastAsia="方正仿宋_GB2312" w:cs="Times New Roman"/>
                <w:i w:val="0"/>
                <w:iCs w:val="0"/>
                <w:color w:val="000000"/>
                <w:kern w:val="0"/>
                <w:sz w:val="24"/>
                <w:szCs w:val="24"/>
                <w:u w:val="none"/>
                <w:lang w:val="en-US" w:eastAsia="zh-CN" w:bidi="ar"/>
              </w:rPr>
              <w:t>，可广泛推广至高速路网、桥梁、路基等场景，为智慧交通与基础设施数字化转型提供示范引领，行业推广价值高</w:t>
            </w:r>
            <w:r>
              <w:rPr>
                <w:rFonts w:hint="default" w:ascii="Times New Roman" w:hAnsi="Times New Roman" w:eastAsia="方正仿宋_GB2312" w:cs="Times New Roman"/>
                <w:i w:val="0"/>
                <w:iCs w:val="0"/>
                <w:color w:val="000000"/>
                <w:kern w:val="0"/>
                <w:sz w:val="24"/>
                <w:szCs w:val="24"/>
                <w:u w:val="none"/>
                <w:lang w:val="en-US" w:eastAsia="zh-CN" w:bidi="ar"/>
              </w:rPr>
              <w:t>。</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189B678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智地感知（合肥）科技有限公司、安徽交控道路养护有限公司、安徽省交通控股集团有限公司</w:t>
            </w:r>
          </w:p>
        </w:tc>
      </w:tr>
      <w:tr w14:paraId="55491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516212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3</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44B070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人工智能</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52D4A69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合肥公共资源交易大模型开发建设与应用项目</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18285DA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当前，国家正积极推进“人工智能+”行动，招标投标被列为重点应用领域。2024年5月，合肥市公管局依托近二十年公共资源交易改革的深厚积累，与科大讯飞深度合作，探索“招标投标+大模型”新模式。项目总投资20533万元，打造公共资源交易行业级垂直大模型，聚焦招标文件合规质检、投标文件雷达监测、AI“类人”评审三大核心场景，着力解决长期存在的“专家不公、围标串标、萝卜招标”等突出乱象，构建公共资源交易监管服务新生态。</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4ABD38F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构建“1+5+N”总体架构（1套定制化技术底座+5种专业能力+N项智能化应用），融合国家、省、市三级制度规则与一体化平台全量数据，为电子交易、服务、监管系统提供AI赋能。核心技术方面，研发全链路智能问答、生成式文件编制、自学习泛化认知、类人化评审推理、多模态智能解析等能力，支持招标文件智能解析、投标文件多模态比对、评审逻辑溯源等功能。算力保障上，后台依托科大讯飞“飞星一号”全国产化算力集群，前端推理本地化部署，实现成本与资源优化。工作机制方面，总结“万千百十个”里程碑路径，设计“背靠背”“肩并肩”“面对面”“手拉手”四种人机协同方式，其中“手拉手”为全国首创。</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120D608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为全国公共资源交易智能化监管提供了可复制、可推广的“合肥方案”，获中央改革办《改革情况交流》刊载及国家发改委肯定，被列为全国招投标领域“人工智能+”唯一特色示范案例，2025年12月国家发改委在合肥召开全国数智技术应用交流会并作系统演示。经济效益方面，招标文件合规质检已向全省16地市推广，AI“类人”评审将评审时间从3.5小时压缩至15分钟，大幅降低评审成本，提高资源配置效率。社会效益方面，投标文件雷达监测有效辅助围串标线索发现，AI评审约束专家自由裁量权，有力推进招投标领域廉政建设。</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3322E2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合肥市公管局、科大讯飞股份有限公司</w:t>
            </w:r>
          </w:p>
        </w:tc>
      </w:tr>
      <w:tr w14:paraId="29E4B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4803019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4</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199A20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高端装备制造</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F0A42C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PPB级高精度燃气管网巡检系统</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0ACD43E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岑锋科技有限公司基于中红外腔增强吸收光谱技术，自主研发PPB级高精度燃气管网巡检系统。联合合燃华润、皖能天然气等燃气企业开展场景应用，构建起覆盖城市主干管网、老旧小区、狭窄道路等全场景的“移动巡检+精准定位”立体化燃气管网监测网络，实现城市燃气管网微量泄漏的早发现、精定位、快处置，从根本上解决传统设备无法区分天然气与沼气导致的误报痛点，形成“监测—预警—处置”闭环管理体系，将燃气安全管理模式从被动抢修升级为事前主动预警，最大限度保障人民群众生命财产安全。</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283941C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1.国内首创采用中红外腔增强吸收光谱技术，同步实现甲烷、乙烷ppb级超高精度检测</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2.结合多种环境感知传感器、北斗导航系统及智能气体泄漏模型算法，对泄漏区域进行米级定位，同时结合扩散区域大小对风险进行评估，及时预警</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3.自研气体浓度背景跟踪算法、甲乙烷相关性算法，可筛选出与泄漏事件关联性最强的关键指标，优化模型输入特征，有效提升泄漏报警准确率，降低误报，提高巡检效率</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4.通过自研微型化抗振动多通池（光程&gt;10m，容积&lt;100ml）与高精度温压控模块（温控±0.001℃），实现气体高精度快速测量。</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11A413A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PPB级高精度燃气管网巡检系统从根本上解决了传统检测设备无法区分天然气与沼气、定位精度低、抗干扰能力差等痛点，可在泄漏萌芽阶段及时发现隐患并精准定位，实现燃气安全管理从被动抢修向事前主动预警的根本转变，从源头上降低燃气爆炸事故发生率，切实保障人民群众生命财产安全。系统核心部件（激光器、多通池、检测主板、模型算法等）实现100%国产化，打破Picarro、ABB等国外厂商技术垄断与价格壁垒，填补了国内高端车载燃气泄漏检测装备空白，为燃气行业提供安全可控、成本优化的国产替代方案。系统有效破解地方政府和企业面临的“设备投入高、误报率高、维护成本高”困境，具备向全国燃气企业及工业园区规模化推广的广阔前景，为城镇燃气安全智能化治理提供了高精度、高效率的国产解决方案。</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1DE391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安徽岑锋科技有限公司</w:t>
            </w:r>
          </w:p>
        </w:tc>
      </w:tr>
      <w:tr w14:paraId="2BDED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2B80B0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5</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4E15566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低空经济和商业航天</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640D86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无人机高空“狙击”烈火应用</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124A8AA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安徽尚飞航空的KQ380F电动垂直起降飞行器参与2026年高新区超高层建筑施工消防实战演练，与消防车、救援队伍协同完成“空地协同”灭火。</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45C7E27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项目应用增程版eVTOL技术实现适航审定载物飞行与空地协同控制。</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0C71267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通过专用喷射装置精准覆盖起火楼层外墙及内部着火点，彻底破解传统消防举高车“够不着、上不去、打不准”的痛点，为超高层建筑火灾扑救提供空中持续压制火力，是城市消防安全体系升级的关键装备；同时进一步推动eVTOL在消防应急领域商业化应用，带动低空经济产业链发展。</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4BEDE8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安徽尚飞航空科技有限公司</w:t>
            </w:r>
          </w:p>
        </w:tc>
      </w:tr>
      <w:tr w14:paraId="42071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4FBCB9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6</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51D9007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低空经济和商业航天</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7877D3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智能无人艇开展智慧海事建设</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07FCD59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面向巢湖等内河湖泊水上交通监管场景，依托7.5米级L30智能巡逻无人艇，开展智慧海事巡逻、远程执法取证、重点水域值守和应急辅助处置示范应用。无人艇集成自主航行、智能避障、视频感知、目标识别、远程喊话、4K视频回传等功能，可在重点航道、避风锚地、桥区、禁航区等水域执行常态化巡查任务，实现对船舶超速、闯入禁航区、异常停留、疑似违法作业等行为的自动发现、预警和取证。项目通过无人艇与有人巡逻艇、无人机、岸基指挥平台协同，构建“水陆空”一体化智慧监管模式，提升合肥市水上交通巡逻覆盖能力、现场响应效率和执法取证智能化水平。</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0B92262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系统应用自主航行与智能避障技术，基于组合导航、电子航道图及多源感知数据，实现无人艇在内河复杂水域的自主航线跟踪、动态避障与路径规划，后续将迭代狭窄航道、桥区等场景的动态栅格建模与重规划能力；融合雷达、视频、AIS及定位数据，对重点船舶、异常航迹、禁航区闯入、超速等行为进行智能识别预警，并逐步提升舷号识别、小目标及夜间检测能力；通过专网通信与4K视频回传，实现巡逻画面、航迹数据、告警事件和执法信息的实时传输，支撑远程可视化指挥和现场闭环处置。后续将进一步完善电子围栏预警、事件自动标注、执法证据留存、多艇协同巡逻和长时间定点值守等功能，形成可复制、可推广的智慧海事无人艇应用方案。</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24B7DD3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着力提升巢湖及内河重点水域巡逻覆盖频次、违法行为发现效率和突发事件响应能力，破解传统水上巡逻“人力成本高、覆盖面小、响应慢”等问题，降低对执法人员及传统巡逻艇的依赖，提升水上交通监管智能化与精细化水平。构建无人艇、有人巡逻艇、无人机及移动通信基站协同的水陆空立体监管体系，为超速、禁航区闯入、疑似盗采砂石等事件提供实时预警、远程取证与闭环处置支撑。形成“需求牵引、技术驱动、场景验证、产业落地”应用闭环，可复制推广至内河航道、湖泊、港区、桥区等重点水域。</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68E3B72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合肥云洲防务科技有限公司</w:t>
            </w:r>
          </w:p>
        </w:tc>
      </w:tr>
      <w:tr w14:paraId="22BCD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36C67A7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7</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7B90942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文化旅游</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5F4B802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芜湖老船厂1900项目中轴景观光影秀项目</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1B5ADEDB">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芜湖老船厂1900项目前身为1900年创立的福记恒机器厂，是芜湖百年工业文明核心载体，2008年船厂搬迁后遗留大量工业遗存。作为芜湖城市更新重点工程、长江沿岸工业遗产转型标杆项目，项目以“活化工业记忆、焕新公共空间”为核心，打造集文化、商业、旅游于一体的滨江文商旅地标。中轴景观光影秀依托中央绿轴公园“超级T轴”设计骨架，以保留的塔吊、门座吊等工业设施为载体，通过光影技术赋能工业遗产活化，是项目夜间经济与文旅体验的核心支撑。</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4AEFF06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以工业遗产活化+数字光影赋能为核心，形成技术、产品、应用、模式四维创新体系，达到国内工业遗产光影秀先进水平。技术创新上，本项目采用4K超高清激光投影+3D</w:t>
            </w:r>
            <w:r>
              <w:rPr>
                <w:rFonts w:hint="eastAsia" w:ascii="Times New Roman" w:hAnsi="Times New Roman" w:eastAsia="方正仿宋_GB2312" w:cs="Times New Roman"/>
                <w:i w:val="0"/>
                <w:iCs w:val="0"/>
                <w:color w:val="000000"/>
                <w:kern w:val="0"/>
                <w:sz w:val="24"/>
                <w:szCs w:val="24"/>
                <w:u w:val="none"/>
                <w:lang w:val="en-US" w:eastAsia="zh-CN" w:bidi="ar"/>
              </w:rPr>
              <w:t xml:space="preserve"> </w:t>
            </w:r>
            <w:r>
              <w:rPr>
                <w:rFonts w:hint="default" w:ascii="Times New Roman" w:hAnsi="Times New Roman" w:eastAsia="方正仿宋_GB2312" w:cs="Times New Roman"/>
                <w:i w:val="0"/>
                <w:iCs w:val="0"/>
                <w:color w:val="000000"/>
                <w:kern w:val="0"/>
                <w:sz w:val="24"/>
                <w:szCs w:val="24"/>
                <w:u w:val="none"/>
                <w:lang w:val="en-US" w:eastAsia="zh-CN" w:bidi="ar"/>
              </w:rPr>
              <w:t>Mapping结构光影+塔吊全息显示融合技术，实现65米塔吊、26米门座吊等工业遗存的立体成像，投射距离≥70米、色彩还原度≥95%、帧率≥60fps，搭载智能控光与远程运维系统，支持全天候稳定运行与内容一键切换；引入最新的新型显示技术—激光显示，根据天气、客流、时段动态优化光影效果，降低能耗。</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721C8A0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2025年10月中央绿轴公园开园后正式投用，成为芜湖网红打卡点，单日吸引游客超万人次；支撑芜湖长江艺术节、草地音乐节、中秋灯光秀等活动落地，提升场地运营活力；实现工业遗产“修旧如旧”与科技焕新结合，获评省文旅产业典型案例；带动周边文商旅融合，助力项目打造“城市会客厅”，累计接待参观者超10万人次。</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3D50B49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芜湖滨江文旅投资运营有限公司</w:t>
            </w:r>
          </w:p>
        </w:tc>
      </w:tr>
      <w:tr w14:paraId="31235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6D37855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8</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6943226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新能源及绿色低碳</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3F609E0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城市低速车换电绿色服务生态创新应用</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2108558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本项目总投资6亿元，聚焦城市低速电动车（外卖、快递、共享等高频短途场景）补能基础设施薄弱、电池隐患突出等痛点，依托自主研发的换电硬件设备，融合区块链、IoT、AI前沿技术搭建智能管理系统，构建电池全生命周期闭环管控与城市级绿色换电服务体系。业务覆盖全国超40座城市，累计完成换电服务7298万次，平台注册用户60万+，月度付费用户3万+。</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5685C70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方正仿宋_GB2312" w:cs="Times New Roman"/>
                <w:i w:val="0"/>
                <w:iCs w:val="0"/>
                <w:color w:val="000000"/>
                <w:kern w:val="0"/>
                <w:sz w:val="24"/>
                <w:szCs w:val="24"/>
                <w:u w:val="none"/>
                <w:lang w:val="en-US" w:eastAsia="zh-CN" w:bidi="ar"/>
              </w:rPr>
            </w:pPr>
            <w:r>
              <w:rPr>
                <w:rFonts w:hint="eastAsia" w:ascii="Times New Roman" w:hAnsi="Times New Roman" w:eastAsia="方正仿宋_GB2312" w:cs="Times New Roman"/>
                <w:i w:val="0"/>
                <w:iCs w:val="0"/>
                <w:color w:val="000000"/>
                <w:kern w:val="0"/>
                <w:sz w:val="24"/>
                <w:szCs w:val="24"/>
                <w:u w:val="none"/>
                <w:lang w:val="en-US" w:eastAsia="zh-CN" w:bidi="ar"/>
              </w:rPr>
              <w:t>1.</w:t>
            </w:r>
            <w:r>
              <w:rPr>
                <w:rFonts w:hint="default" w:ascii="Times New Roman" w:hAnsi="Times New Roman" w:eastAsia="方正仿宋_GB2312" w:cs="Times New Roman"/>
                <w:i w:val="0"/>
                <w:iCs w:val="0"/>
                <w:color w:val="000000"/>
                <w:kern w:val="0"/>
                <w:sz w:val="24"/>
                <w:szCs w:val="24"/>
                <w:u w:val="none"/>
                <w:lang w:val="en-US" w:eastAsia="zh-CN" w:bidi="ar"/>
              </w:rPr>
              <w:t>项目核心技术均为自主攻关研发，如物联网智能换电柜、SaaS云平台、主动安全防护等核心技术，形成</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硬件+软件+电池+服务</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一体化能力</w:t>
            </w:r>
            <w:r>
              <w:rPr>
                <w:rFonts w:hint="eastAsia" w:ascii="Times New Roman" w:hAnsi="Times New Roman" w:eastAsia="方正仿宋_GB2312" w:cs="Times New Roman"/>
                <w:i w:val="0"/>
                <w:iCs w:val="0"/>
                <w:color w:val="000000"/>
                <w:kern w:val="0"/>
                <w:sz w:val="24"/>
                <w:szCs w:val="24"/>
                <w:u w:val="none"/>
                <w:lang w:val="en-US" w:eastAsia="zh-CN" w:bidi="ar"/>
              </w:rPr>
              <w:t>；</w:t>
            </w:r>
          </w:p>
          <w:p w14:paraId="37DED3F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both"/>
              <w:textAlignment w:val="center"/>
              <w:rPr>
                <w:rFonts w:hint="eastAsia" w:ascii="Times New Roman" w:hAnsi="Times New Roman" w:eastAsia="方正仿宋_GB2312" w:cs="Times New Roman"/>
                <w:i w:val="0"/>
                <w:iCs w:val="0"/>
                <w:color w:val="000000"/>
                <w:kern w:val="0"/>
                <w:sz w:val="24"/>
                <w:szCs w:val="24"/>
                <w:u w:val="none"/>
                <w:lang w:val="en-US" w:eastAsia="zh-CN" w:bidi="ar"/>
              </w:rPr>
            </w:pPr>
            <w:r>
              <w:rPr>
                <w:rFonts w:hint="default" w:ascii="Times New Roman" w:hAnsi="Times New Roman" w:eastAsia="方正仿宋_GB2312" w:cs="Times New Roman"/>
                <w:i w:val="0"/>
                <w:iCs w:val="0"/>
                <w:color w:val="000000"/>
                <w:kern w:val="0"/>
                <w:sz w:val="24"/>
                <w:szCs w:val="24"/>
                <w:u w:val="none"/>
                <w:lang w:val="en-US" w:eastAsia="zh-CN" w:bidi="ar"/>
              </w:rPr>
              <w:t>2.</w:t>
            </w:r>
            <w:r>
              <w:rPr>
                <w:rFonts w:hint="eastAsia" w:ascii="Times New Roman" w:hAnsi="Times New Roman" w:eastAsia="方正仿宋_GB2312" w:cs="Times New Roman"/>
                <w:i w:val="0"/>
                <w:iCs w:val="0"/>
                <w:color w:val="000000"/>
                <w:kern w:val="0"/>
                <w:sz w:val="24"/>
                <w:szCs w:val="24"/>
                <w:u w:val="none"/>
                <w:lang w:val="en-US" w:eastAsia="zh-CN" w:bidi="ar"/>
              </w:rPr>
              <w:t>项目</w:t>
            </w:r>
            <w:r>
              <w:rPr>
                <w:rFonts w:hint="default" w:ascii="Times New Roman" w:hAnsi="Times New Roman" w:eastAsia="方正仿宋_GB2312" w:cs="Times New Roman"/>
                <w:i w:val="0"/>
                <w:iCs w:val="0"/>
                <w:color w:val="000000"/>
                <w:kern w:val="0"/>
                <w:sz w:val="24"/>
                <w:szCs w:val="24"/>
                <w:u w:val="none"/>
                <w:lang w:val="en-US" w:eastAsia="zh-CN" w:bidi="ar"/>
              </w:rPr>
              <w:t>以</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电池银行</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为核心资产形态，联合城市合伙人构建轻资产、可扩展的本地化运营网络，以自研核心技术，保障技术迭代与市场落地双向高效推进</w:t>
            </w:r>
            <w:r>
              <w:rPr>
                <w:rFonts w:hint="eastAsia" w:ascii="Times New Roman" w:hAnsi="Times New Roman" w:eastAsia="方正仿宋_GB2312" w:cs="Times New Roman"/>
                <w:i w:val="0"/>
                <w:iCs w:val="0"/>
                <w:color w:val="000000"/>
                <w:kern w:val="0"/>
                <w:sz w:val="24"/>
                <w:szCs w:val="24"/>
                <w:u w:val="none"/>
                <w:lang w:val="en-US" w:eastAsia="zh-CN" w:bidi="ar"/>
              </w:rPr>
              <w:t>；</w:t>
            </w:r>
          </w:p>
          <w:p w14:paraId="458C70B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3.项目融合区块链、IoT、AI技术，实现电池全生命周期数据闭环管理。</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3C766AC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项目创新打造电池银行运营新模式，构建标准化、规模化、可迭代的绿色换电服务生态，助力产业规模化普及与国际化拓展，具备极强的行业复制与全域推广价值。</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04AD396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安徽巡鹰智慧能源有限公司</w:t>
            </w:r>
          </w:p>
        </w:tc>
      </w:tr>
      <w:tr w14:paraId="3BDA3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7D30A00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9</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373287D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生物医药和高端医疗器械</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945E60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“移动方舱”开进社区（移动磁共振+远程诊断）</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40CD630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安徽福晴医疗在合肥南岗镇社区卫生院落地“互联网+远程专家诊断+移动磁共振”模式，让居民在家门口完成磁共振检查，形成安徽省首个基层智慧医疗标杆。</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71B5C21C">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方案依托全新一代国产智能磁共振设备，实现硬件、软件、算法全栈自主研发。依托“人机共脑+医疗语言大模型”搭建智能辅助诊断架构，融合多源医疗数据、优化边缘计算能力，全方位提升医疗诊断的精准度与诊疗效率。方案创新构建“设备+AI+云诊断+技术服务购买”四位一体整体解决方案，依托福晴互联网医院搭建远程阅片、在线诊断专属支撑体系，打破优质医疗资源地域壁垒，实现高端医疗资源高效下沉、普惠基层。方案支持方舱、车载等多元化灵活部署模式，可快速落地基层医疗机构及偏远医疗薄弱地区，精准破解基层医疗人才匮乏、设备老旧、患者外流等核心痛点，系统性补强基层诊疗短板，有效提升基层医院整体诊疗水平与经营营收能力。</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2750D4B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该基层医疗升级模式打造可复制、可落地的基层医疗“南岗样板”，能够广泛推广至全国各街道、乡镇社区卫生服务中心，有效破解基层医疗设备短缺、精准检查能力不足、患者跨区转诊奔波、优质资源下沉不足等核心痛点。真正实现三甲医院高标准影像检查服务下沉基层、送医上门，大幅提升基层诊疗服务质量与就医可及性，降低群众就医成本与转诊负担，全面补齐基层慢病筛查、疑难病症初筛诊疗短板，推动全国基层医疗服务规范化、优质化、普惠化升级，助力分级诊疗落地与健康中国战略推进。</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6EE857E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‌安徽福晴医疗装备有限公司‌</w:t>
            </w:r>
          </w:p>
        </w:tc>
      </w:tr>
      <w:tr w14:paraId="31A6F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715742C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10</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7144F6D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人工智能</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062E32E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AI赋能校园欺凌智能预警与安全防护应用场景</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059CC3E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本项目由中科星图数字地球联合海康威视协同落地，在合肥市2所小学规模化部署搭载语音、视频双智能分析的校园防欺凌预警系统，累计布设设备90套。项目已完成师资专项培训并正式常态化投入使用，构建起校园智能化安全防护体系。</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68364CF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项目依托语音大模型、视频大模型、多模态融合预警三大核心技术，以场景测试验证为合作落地模式，突破传统安防识别局限，实现校园全域精准监测、智能研判、低误报预警。</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0B746A6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项目成功打造校园智慧安全治理的“合肥样本”，形成可复制、可推广的全国校园智能防欺凌解决方案。</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38FDE3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中科星图数字地球合肥有限公司、合肥海康威视数字技术有限公司</w:t>
            </w:r>
          </w:p>
        </w:tc>
      </w:tr>
      <w:tr w14:paraId="5B931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2A766BB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11</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1870A6B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机器人</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0078B73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机器人落地全民健身场景</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5CA7F05F">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在由国家体育总局群众体育司、安徽省体育局、合肥市联合主办的大型全民健身主题活动中，合肥市场景公司联动国先中心，聚焦体育科技融合创新赛道，集中引入乐聚Kuavo人形通用机器人、中科深谷多功能智能康养机器人、奇智健康专业智能运动穿戴监测设备等一批科创成果落地赛事实景。以真实赛事为载体，针对性完成人形机器人高精度运动控制算法调校、智能康养设备运动康复适配模型优化等核心技术打磨。通过实战验证大幅缩短技术落地测试周期，加速体育类智能机器人产品成熟定型，打通智能装备从实验室研发到大众体育场景落地的转化通道，有效拓展人形机器人、康养智能装备在全民健身、科学运动、运动康复等领域的多元应用空间，为体育数字化、智慧健身产业融合发展提供可复制的场景示范。</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17A0749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eastAsia" w:ascii="Times New Roman" w:hAnsi="Times New Roman" w:eastAsia="方正仿宋_GB2312" w:cs="Times New Roman"/>
                <w:i w:val="0"/>
                <w:iCs w:val="0"/>
                <w:color w:val="000000"/>
                <w:kern w:val="0"/>
                <w:sz w:val="24"/>
                <w:szCs w:val="24"/>
                <w:u w:val="none"/>
                <w:lang w:val="en-US" w:eastAsia="zh-CN" w:bidi="ar"/>
              </w:rPr>
              <w:t>通过</w:t>
            </w:r>
            <w:r>
              <w:rPr>
                <w:rFonts w:hint="default" w:ascii="Times New Roman" w:hAnsi="Times New Roman" w:eastAsia="方正仿宋_GB2312" w:cs="Times New Roman"/>
                <w:i w:val="0"/>
                <w:iCs w:val="0"/>
                <w:color w:val="000000"/>
                <w:kern w:val="0"/>
                <w:sz w:val="24"/>
                <w:szCs w:val="24"/>
                <w:u w:val="none"/>
                <w:lang w:val="en-US" w:eastAsia="zh-CN" w:bidi="ar"/>
              </w:rPr>
              <w:t>测试验证</w:t>
            </w:r>
            <w:r>
              <w:rPr>
                <w:rFonts w:hint="eastAsia" w:ascii="Times New Roman" w:hAnsi="Times New Roman" w:eastAsia="方正仿宋_GB2312" w:cs="Times New Roman"/>
                <w:i w:val="0"/>
                <w:iCs w:val="0"/>
                <w:color w:val="000000"/>
                <w:kern w:val="0"/>
                <w:sz w:val="24"/>
                <w:szCs w:val="24"/>
                <w:u w:val="none"/>
                <w:lang w:val="en-US" w:eastAsia="zh-CN" w:bidi="ar"/>
              </w:rPr>
              <w:t>合作形式，利用</w:t>
            </w:r>
            <w:r>
              <w:rPr>
                <w:rFonts w:hint="default" w:ascii="Times New Roman" w:hAnsi="Times New Roman" w:eastAsia="方正仿宋_GB2312" w:cs="Times New Roman"/>
                <w:i w:val="0"/>
                <w:iCs w:val="0"/>
                <w:color w:val="000000"/>
                <w:kern w:val="0"/>
                <w:sz w:val="24"/>
                <w:szCs w:val="24"/>
                <w:u w:val="none"/>
                <w:lang w:val="en-US" w:eastAsia="zh-CN" w:bidi="ar"/>
              </w:rPr>
              <w:t>人形机器人运动控制、智能康养机器人康复辅助、无创血糖体征检测</w:t>
            </w:r>
            <w:r>
              <w:rPr>
                <w:rFonts w:hint="eastAsia" w:ascii="Times New Roman" w:hAnsi="Times New Roman" w:eastAsia="方正仿宋_GB2312" w:cs="Times New Roman"/>
                <w:i w:val="0"/>
                <w:iCs w:val="0"/>
                <w:color w:val="000000"/>
                <w:kern w:val="0"/>
                <w:sz w:val="24"/>
                <w:szCs w:val="24"/>
                <w:u w:val="none"/>
                <w:lang w:val="en-US" w:eastAsia="zh-CN" w:bidi="ar"/>
              </w:rPr>
              <w:t>等核心技术，</w:t>
            </w:r>
            <w:r>
              <w:rPr>
                <w:rFonts w:hint="default" w:ascii="Times New Roman" w:hAnsi="Times New Roman" w:eastAsia="方正仿宋_GB2312" w:cs="Times New Roman"/>
                <w:i w:val="0"/>
                <w:iCs w:val="0"/>
                <w:color w:val="000000"/>
                <w:kern w:val="0"/>
                <w:sz w:val="24"/>
                <w:szCs w:val="24"/>
                <w:u w:val="none"/>
                <w:lang w:val="en-US" w:eastAsia="zh-CN" w:bidi="ar"/>
              </w:rPr>
              <w:t>提升人形机器人多地形行走能力和动态平衡性能</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提升机器人技术在运动健康领域的迭代，验证科技康养设备面向普通消费市场的商业化落地路径。</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7DEB39C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本次在全民健身赛事中落地多款智能装备，全方位呈现人工智能、机器人技术赋能科学运动、运动康复等丰富应用场景，拓宽智慧体育创新发展边界。充分检验各类智能设备在大众服务场景中的适配能力，沉淀海量真实使用数据、优化人机交互服务流程，为后续规模化落地社区健身驿站、线下康复诊疗中心、居家康养服务等民生场景提供成熟实践样板，稳步推进智能运动康养设备走进群众日常生活。</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28C5C5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国际先进技术应用推进中心‌（合肥）、合肥市场景公司</w:t>
            </w:r>
          </w:p>
        </w:tc>
      </w:tr>
      <w:tr w14:paraId="792C5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36D0EB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12</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5049FC6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矿业</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40EA0B8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煤炭矿井全场景智能升级暨省、国家级智能矿井全覆盖示范项目</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14F5209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自2019年起，集团全面启动新一轮智能化规划建设，围绕产业智能化、管理全要素、数据治理和流程融合四大核心方向，系统性推进煤炭生产全场景智能化改造。项目累计投入智能化专项投资6.9亿元，落地273个建设项目。通过系统化改造，集团建成76个智能化采煤工作面、51个智能化掘进工作面、25条盾构机作业线、8个智能化钻机作业群以及建成7座智能化选煤厂，成功打造顾桥矿、色连二矿2对国家级智能化示范煤矿，实现本土及西部煤电集团11对矿井全部通过省级智能化矿井验收。</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6369073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国内首创智能化钻机作业群，实现自动加卸钻杆、自动排水、排渣、远程集控</w:t>
            </w:r>
            <w:r>
              <w:rPr>
                <w:rFonts w:hint="eastAsia" w:ascii="Times New Roman" w:hAnsi="Times New Roman" w:eastAsia="方正仿宋_GB2312" w:cs="Times New Roman"/>
                <w:i w:val="0"/>
                <w:iCs w:val="0"/>
                <w:color w:val="000000"/>
                <w:kern w:val="0"/>
                <w:sz w:val="24"/>
                <w:szCs w:val="24"/>
                <w:u w:val="none"/>
                <w:lang w:val="en-US" w:eastAsia="zh-CN" w:bidi="ar"/>
              </w:rPr>
              <w:t>等</w:t>
            </w:r>
            <w:r>
              <w:rPr>
                <w:rFonts w:hint="default" w:ascii="Times New Roman" w:hAnsi="Times New Roman" w:eastAsia="方正仿宋_GB2312" w:cs="Times New Roman"/>
                <w:i w:val="0"/>
                <w:iCs w:val="0"/>
                <w:color w:val="000000"/>
                <w:kern w:val="0"/>
                <w:sz w:val="24"/>
                <w:szCs w:val="24"/>
                <w:u w:val="none"/>
                <w:lang w:val="en-US" w:eastAsia="zh-CN" w:bidi="ar"/>
              </w:rPr>
              <w:t>“八位一体”功能，操作人员由原来每台钻机2人减少至N+1人（N为钻机台数）</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采煤方面将T0和T1瓦斯传感器数据接入采煤机控制系统，实现煤机速度与全工作面瓦斯浓度智能分级动态联动，优化跟机程序解决破碎顶板及煤帮自动跟机移架问题</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全行业率先使用盾构机（TBM）快速掘进，累计建设25条作业线，实现直径2.5米、3.5米、4.5米、5.5米煤矿盾构机系列化应用，水平80米小曲率半径转弯施工，最高月单进736米，为瓦斯灾害超前治理创造条件</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矿井主通风、压风、提升、排水、供电等系统实现地面远程集中控制，井上下主要固定车间及硐室无人值守</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危险区域应用机器人替代人工。集团自主研发灾害预警综合管控平台，通过各矿至集团的双路冗余光缆传输专线采集各矿安全监控、人员定位、水文监测等实时数据，实现灾害预警智能分析与分级推送，强化业务过程管控。</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78D168E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围绕“减人、增安、提效”的目标，立足“朴素、实用、实效”的原则，按照“整体规划、示范引领、分步实施”的建设思路，统筹持续推进生产矿井各系统、各环节智能化建设，将智能化技术与煤炭开采技术深度融合，聚焦“七化”建设，以采掘智能少人化、辅助运输系统连续高效化、固定场所机电设备无人化、灾害预警系统动态实时化、煤炭洗选系统集约智能化、综合管控平台集成化、运维团队专班化专业化为建设重点，开展了一系列富有成效的工作。</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7C6231F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淮河能源控股集团下属各矿</w:t>
            </w:r>
          </w:p>
        </w:tc>
      </w:tr>
      <w:tr w14:paraId="4A7F1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303E13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13</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791F527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智能网联新能源汽车</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C0CD93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新能源仓储车辆柔性智能制造关键技术集成与应用示范</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445B2490">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当前国内高端锂电托盘车、堆垛车等新能源仓储装备国产化迭代加速，但产品稳定性、可靠性与国际先进水平仍存在差距，核心零部件普遍采用单机离散加工模式，生产柔性不足、标准化程度低，难以适配多品种、小批量的市场生产需求。本项目立足制造业数字化、自动化“两化融合”体系建设，针对新能源仓储车辆生产痛点，攻关行业共性集成制造技术，构建适配多品类、高频切换的柔性生产模式，形成仓储车辆柔性制造能力的建设思路及落地路径。项目聚焦焊接、涂装、总装核心工序，打造全流程智能制造解决方案，实现产品制造全过程数字化管控。通过关键技术集成应用，有效提升产品质量与生产效率，优化现场作业条件、压缩生产场地占用、降低制造成本、缩短生产交付周期，全面提升新能源仓储车辆国产化智能制造水平与市场竞争力。</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1E9C785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1.项目结构件采用模块化分级焊接工艺，实现14类产品自动化组装焊接；抓起采用激光测量技术，实现组装误差迭代补偿</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2.总装首次集成搬运机器人及3D视觉技术，完成车架翻身、变位和上料；采用桁架机械手抓取整车自动下线，实现整车自动上下线</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3.结合仓储车辆结构件尺寸较小、稳定性不佳的特点，项目采用防止倾翻工装设计，利用产品原有装配螺纹孔进行固定，创新性实现结构件在线定节拍合装，该工装方案为行业独有。</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4EF2175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通过项目实施，公司新能源仓储车辆现已具备年产4万套仓储车整车焊接及总装生产能力，多品种柔性兼容能力极佳，多项创新均为行业首例，结构件整体制造效率及质量行业领先，产品关键指标达到国内领先、国际先进水平。项目基本实现基于定制化的仓储车辆全价值链、全生命周期的智能制造模式，进一步提高了智能装备应用水平，提高了精准制造、敏捷制造能力，并将国内龙头制造企业、骨干设计院所、软件实施单位、核心设备厂家进行有机集成，共同培养形成了合力的新能源仓储车辆智能制造团队，为仓储车辆智能制造自主化、集成化积累经验、培养人才、探索标准和规范，在行业内形成了典型示范应用。</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13C6F0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安徽合力股份有限公司</w:t>
            </w:r>
          </w:p>
        </w:tc>
      </w:tr>
      <w:tr w14:paraId="27A48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59BDAEA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14</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576B641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现代金融</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5D33F4C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企业级反欺诈平台风险评估模型</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6EE7FF1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为应对欺诈事件日益严峻的风险形势，汇集全行风险数据，构建了企业级反欺诈平台。平台实现了客户级风险画像和设备风险画像，融合了专家模型、行为评分模型、机器学习模型等组件，已接入个人手机银行系统、企业手机银行系统等主要客户服务渠道，实现了涉诈资金“事前预警、事中阻断、事后溯源”的全链条防控，有效提升农商银行的风险防控能力、市场竞争力及客户信任度，持续保障消费者权益。</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4465D5C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eastAsia" w:ascii="Times New Roman" w:hAnsi="Times New Roman" w:eastAsia="方正仿宋_GB2312" w:cs="Times New Roman"/>
                <w:i w:val="0"/>
                <w:iCs w:val="0"/>
                <w:color w:val="000000"/>
                <w:kern w:val="0"/>
                <w:sz w:val="24"/>
                <w:szCs w:val="24"/>
                <w:u w:val="none"/>
                <w:lang w:val="en-US" w:eastAsia="zh-CN" w:bidi="ar"/>
              </w:rPr>
              <w:t>项目</w:t>
            </w:r>
            <w:r>
              <w:rPr>
                <w:rFonts w:hint="default" w:ascii="Times New Roman" w:hAnsi="Times New Roman" w:eastAsia="方正仿宋_GB2312" w:cs="Times New Roman"/>
                <w:i w:val="0"/>
                <w:iCs w:val="0"/>
                <w:color w:val="000000"/>
                <w:kern w:val="0"/>
                <w:sz w:val="24"/>
                <w:szCs w:val="24"/>
                <w:u w:val="none"/>
                <w:lang w:val="en-US" w:eastAsia="zh-CN" w:bidi="ar"/>
              </w:rPr>
              <w:t>搭建多元风控平台，整合多渠道交易流水、黑白名单、设备信息等多元数据源，结合实时规则引擎，进行动态指标计算，实现了风控模型的可视化配置及风险事件的实时防控；集成设备监测能力，依托设备终端安全监测模块，支持轻量化SDK快速集成，可精准识别模拟器、设备篡改等风险设备行为，识别准确率达99.999%；建立三层逃生机制，第一层为企业级反欺诈平台的超时设置、熔断、降级，第二层为企业服务总线单独接口的超时时间，第三层为各渠道系统的控制开关，提升平台应急能力；构建同城双活架构，按照同城双活进行建设，消除单点故障，保障平台运转与业务运行的连续稳定。</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673BCA8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eastAsia" w:ascii="Times New Roman" w:hAnsi="Times New Roman" w:eastAsia="方正仿宋_GB2312" w:cs="Times New Roman"/>
                <w:i w:val="0"/>
                <w:iCs w:val="0"/>
                <w:color w:val="000000"/>
                <w:kern w:val="0"/>
                <w:sz w:val="24"/>
                <w:szCs w:val="24"/>
                <w:u w:val="none"/>
                <w:lang w:val="en-US" w:eastAsia="zh-CN" w:bidi="ar"/>
              </w:rPr>
              <w:t>项目</w:t>
            </w:r>
            <w:r>
              <w:rPr>
                <w:rFonts w:hint="default" w:ascii="Times New Roman" w:hAnsi="Times New Roman" w:eastAsia="方正仿宋_GB2312" w:cs="Times New Roman"/>
                <w:i w:val="0"/>
                <w:iCs w:val="0"/>
                <w:color w:val="000000"/>
                <w:kern w:val="0"/>
                <w:sz w:val="24"/>
                <w:szCs w:val="24"/>
                <w:u w:val="none"/>
                <w:lang w:val="en-US" w:eastAsia="zh-CN" w:bidi="ar"/>
              </w:rPr>
              <w:t>打破原有风控分散割裂局面，建成来账+柜面+渠道一体化防控体系，可识别跨渠道迂回交易、拆分转账、线上诱导线下办理等复合型欺诈模式，风险识别覆盖面大幅提升；来账资金实现精准识别和处置，有效防范涉案资金落地及二次转移，降低涉诈及监管处罚风险；柜面系统自动识别高风险业务场景并实时提示柜员，弥补人工经验不足，对老年人电信诈骗、代办违规开户、大额可疑取现等场景，通过人防+技防实现提前干预、现场劝阻与警银联动，成功拦截多笔可疑资金，大幅降低柜面欺诈案件发生率。</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6EADA41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安徽省农村信用社联合社</w:t>
            </w:r>
          </w:p>
        </w:tc>
      </w:tr>
      <w:tr w14:paraId="4A04C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4B959C6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15</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C1E1EC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智慧渔业</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168BE73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岸基工厂化智慧渔业养殖与科普体验示范项目</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3E3545D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实际投资600余万元，建成2100平方米岸基式工厂化养殖车间，配套建设大直径双通道进排水养殖池、育苗池、地下井等核心设施。项目依托物联网、智能调控技术，搭建数字化智慧养殖应用场景，打造生态环保、全程可追溯的优质淡水鱼养殖品牌。同时配套建设科普教育与休闲体验功能，对外开放养殖流程参观、渔业知识科普、特色垂钓体验等活动，科普体验服务在整体运营中占比突出，形成“智能养殖+科普文旅”一体化特色运营模式。</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2515BEC4">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核心技术包含溶解氧、pH、氨氮多参数智能水质传感器、物联网云平台、自动化投饵设备及循环水处理智能控制系统；同时集成养殖数据可视化大屏等游客互动展示、科普解说配套系统。项目完成设施升级改造，尾水处理能力得到显著提升。</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3E8AE4A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1.经济效益：项目依托岸基工厂化智慧渔业养殖模式，年度养殖产值约60万元，稳定实现水产养殖经营性收益</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2.社会效益：</w:t>
            </w:r>
            <w:r>
              <w:rPr>
                <w:rFonts w:hint="eastAsia" w:ascii="Times New Roman" w:hAnsi="Times New Roman" w:eastAsia="方正仿宋_GB2312" w:cs="Times New Roman"/>
                <w:i w:val="0"/>
                <w:iCs w:val="0"/>
                <w:color w:val="000000"/>
                <w:kern w:val="0"/>
                <w:sz w:val="24"/>
                <w:szCs w:val="24"/>
                <w:u w:val="none"/>
                <w:lang w:val="en-US" w:eastAsia="zh-CN" w:bidi="ar"/>
              </w:rPr>
              <w:t>可</w:t>
            </w:r>
            <w:r>
              <w:rPr>
                <w:rFonts w:hint="default" w:ascii="Times New Roman" w:hAnsi="Times New Roman" w:eastAsia="方正仿宋_GB2312" w:cs="Times New Roman"/>
                <w:i w:val="0"/>
                <w:iCs w:val="0"/>
                <w:color w:val="000000"/>
                <w:kern w:val="0"/>
                <w:sz w:val="24"/>
                <w:szCs w:val="24"/>
                <w:u w:val="none"/>
                <w:lang w:val="en-US" w:eastAsia="zh-CN" w:bidi="ar"/>
              </w:rPr>
              <w:t>带动周边10名农户就地就业；循环水处理系统实现养殖尾水减排50%，有效降低养殖面源污染；同时面向大众开展渔业科普研学，提升公众现代渔业认知水平，打造本地农旅融合示范样板</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3.推广价值：项目建设模式轻量化、投资规模可控，兼顾水产生产与科普休闲双重功能，适配城郊、景区周边区域落地复制，示范推广适配性强。</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3D17F74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铜陵市普济桑田稻渔生态发展有限公司</w:t>
            </w:r>
          </w:p>
        </w:tc>
      </w:tr>
      <w:tr w14:paraId="4045B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04A46F7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16</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4AD45AD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高端装备制造</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29B5BE5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面向高端船舶制造的平直分段全流程数智化柔性生产场景</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1FDB42D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本场景围绕平直分段全流程数智化柔性生产目标，构建“自动化产线+数字化平台+智能管控”的一体化解决方案，建设内容涵盖硬件产线、数字化系统、配套支撑三大板块，突破集成激光跟踪焊接等技术，定制专用智能装备，首创数字孪生全流程可视化应用，落地“造车思维造船”柔性生产模式，多项成果填补行业空白，达到国内领先水平。</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68E17607">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突破单一自动化设备改造模式，实现核心技术集成创新与协同应用。采用激光跟踪焊接技术（精度±0.15mm）与OTC数字式500A焊接电源结合，打造船舶平直分段专用高速焊接系统，可同时对8根纵骨进行双面单丝二氧化碳气体保护焊接，热输入与焊材消耗均降低23%</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集成德国REA数控划线技术与180度智能翻板系统，实现12米×14米大规格板架自动精准划线与智能翻身（最大承重35吨，翻身时间仅10分钟），人工干预率降至10%以下；构建全流程质量数据闭环技术体系，通过采集切割、焊接、划线等全工序数据，将板格平整度精准控制在≤2mm，突破了传统人工质量管控的精度瓶颈；研发辊道智能流转与双班联动技术，实现“人换机不停”，工序衔接效率提升超30%，破解了船舶生产流程离散、协同效率低的行业痛点。</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1F36669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场景中打造的“全流程自动化加工+数字化平台管控+柔性化生产适配”的模式，突破了传统船舶平直分段生产的技术与管理瓶颈，其实现的产能提升25%以上、质量成本降低5%以上、工序衔接效率提升30%以上等量化成果，为行业树立了明确的智能化转型目标；同时，场景中形成的标准化操作规程与管理模式，为船舶制造行业制定相关国家标准、行业标准提供了重要的实践基础，推动船舶制造行业从“规模领先”向“质量领先、技术领先、效率领先”转型。</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79050D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芜湖造船厂有限公司</w:t>
            </w:r>
          </w:p>
        </w:tc>
      </w:tr>
      <w:tr w14:paraId="5F478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3ABEED1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17</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4C3F77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智慧农业</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4D2705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蔬菜种质智能创新与机械化生产示范应用场景</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2AB7FC0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本项目总投资1721.55万元，搭建基于AI图像识别的蔬菜种质表型智能鉴定体系，构建“智能育种赋能、机器人标准化作业、物联网精准管控”的全链条数字化模式，依托全国100余个示范基地，全面驱动蔬菜产业数字化、智能化转型升级。</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728C78E1">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项目核心技术涵盖AI智能图像识别、数字化智能育种、田间机器人作业、物联网全域管控，采用科研院所+龙头企业+示范基地产学研用一体化合作机制，实现技术攻关、落地应用、示范推广无缝衔接。</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3EBC1CA6">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项目打造蔬菜智慧种植标准化技术范式，高效推动农业科技成果落地转化，兼具良好的经济效益与生态效益，可为现代农业高质量发展提供可复制、可推广的标杆模式。</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6BBBA71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安徽省农业科学院蔬菜研究所</w:t>
            </w:r>
          </w:p>
        </w:tc>
      </w:tr>
      <w:tr w14:paraId="0BBC7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64461B2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18</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65CABE8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新材料</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9F0433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公园景观环保新材料应用示范</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59C8960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聚焦废旧电子线路板资源化利用难题，针对其“回收处理难、高值化利用难、市场认知度低”的行业痛点，由安徽春和明生依托材料科学与循环经济领域的创新技术，将废旧线路板树脂粉转化为具备耐水、耐腐、阻燃等优异性能的脂塑木环保新材料。通过在市政公园、湿地公园、美丽乡村建设等场景开展示范应用，推动电子废弃物从“低值回收”向“高值利用”转变，为城市绿色低碳发展提供可复制的新材料应用方案，以循环经济力量助力“无废城市”建设。</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1878CC5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攻克废旧电子线路板树脂粉高值化再利用关键技术，形成脂塑木复合材料配方体系与成型工艺，实现产品在力学性能、耐候性、阻燃性等方面达到市政及园林工程应用标准。</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5122178A">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实现了废弃电子线路板树脂粉的高值化循环利用，有效减少了木材砍伐与焚烧填埋带来的碳排放，兼具显著的环境效益与资源效益。产品凭借耐水、耐腐、阻燃、免维护等特性，为公园湿地、市政园林等生态景观场景提供了绿色环保的新型耐候材料替代方案。</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05EFB7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安徽春和明生环保新材料科技有限公司</w:t>
            </w:r>
          </w:p>
        </w:tc>
      </w:tr>
      <w:tr w14:paraId="16275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1A96D79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19</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176E7C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新能源及绿色低碳</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79247B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车网互动全场景融合示范</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1989BC0E">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作为全国首批车网互动规模化应用试点城市，合肥市新能源汽车产量跃居全国首位，保有量57.7万辆，渗透率51%，百万千瓦级的充电负荷峰值达电网最大负荷的9%，已成为电力系统中不可忽视的一部分。</w:t>
            </w:r>
            <w:r>
              <w:rPr>
                <w:rFonts w:hint="default" w:ascii="Times New Roman" w:hAnsi="Times New Roman" w:eastAsia="方正仿宋_GB2312" w:cs="Times New Roman"/>
                <w:i w:val="0"/>
                <w:iCs w:val="0"/>
                <w:color w:val="000000"/>
                <w:kern w:val="0"/>
                <w:sz w:val="24"/>
                <w:szCs w:val="24"/>
                <w:u w:val="none"/>
                <w:lang w:val="en-US" w:eastAsia="zh-CN" w:bidi="ar"/>
              </w:rPr>
              <w:br w:type="textWrapping"/>
            </w:r>
            <w:r>
              <w:rPr>
                <w:rFonts w:hint="default" w:ascii="Times New Roman" w:hAnsi="Times New Roman" w:eastAsia="方正仿宋_GB2312" w:cs="Times New Roman"/>
                <w:i w:val="0"/>
                <w:iCs w:val="0"/>
                <w:color w:val="000000"/>
                <w:kern w:val="0"/>
                <w:sz w:val="24"/>
                <w:szCs w:val="24"/>
                <w:u w:val="none"/>
                <w:lang w:val="en-US" w:eastAsia="zh-CN" w:bidi="ar"/>
              </w:rPr>
              <w:t>合肥电力安装有限公司响应安徽省号召，以建设杨林路国家级车网互动规模化</w:t>
            </w:r>
            <w:r>
              <w:rPr>
                <w:rFonts w:hint="eastAsia" w:ascii="Times New Roman" w:hAnsi="Times New Roman" w:eastAsia="方正仿宋_GB2312" w:cs="Times New Roman"/>
                <w:i w:val="0"/>
                <w:iCs w:val="0"/>
                <w:color w:val="000000"/>
                <w:kern w:val="0"/>
                <w:sz w:val="24"/>
                <w:szCs w:val="24"/>
                <w:u w:val="none"/>
                <w:lang w:val="en-US" w:eastAsia="zh-CN" w:bidi="ar"/>
              </w:rPr>
              <w:t>应用</w:t>
            </w:r>
            <w:r>
              <w:rPr>
                <w:rFonts w:hint="default" w:ascii="Times New Roman" w:hAnsi="Times New Roman" w:eastAsia="方正仿宋_GB2312" w:cs="Times New Roman"/>
                <w:i w:val="0"/>
                <w:iCs w:val="0"/>
                <w:color w:val="000000"/>
                <w:kern w:val="0"/>
                <w:sz w:val="24"/>
                <w:szCs w:val="24"/>
                <w:u w:val="none"/>
                <w:lang w:val="en-US" w:eastAsia="zh-CN" w:bidi="ar"/>
              </w:rPr>
              <w:t>示范站为突破口，创新打造车网互动“技术验证中心、运营中心、产业协同中心”三大平台，以点带面，探索出一条从“技术可行”到“模式可行”再到“规模推广”的车网互动规模化应用新路径。项目构建了“三流合一”车网互动新模式，算力流是大脑、信息流是神经、能量流是肌肉。项目依托量子计算统筹决策、量子加密安全通信、量子测量把控能量，实现能量流、信息流、算力流“三流合一”联动，重新定义GB/T44638车网互动标准。</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6F5D8F8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eastAsia" w:ascii="Times New Roman" w:hAnsi="Times New Roman" w:eastAsia="方正仿宋_GB2312" w:cs="Times New Roman"/>
                <w:i w:val="0"/>
                <w:iCs w:val="0"/>
                <w:color w:val="000000"/>
                <w:kern w:val="0"/>
                <w:sz w:val="24"/>
                <w:szCs w:val="24"/>
                <w:u w:val="none"/>
                <w:lang w:val="en-US" w:eastAsia="zh-CN" w:bidi="ar"/>
              </w:rPr>
              <w:t>项目</w:t>
            </w:r>
            <w:r>
              <w:rPr>
                <w:rFonts w:hint="default" w:ascii="Times New Roman" w:hAnsi="Times New Roman" w:eastAsia="方正仿宋_GB2312" w:cs="Times New Roman"/>
                <w:i w:val="0"/>
                <w:iCs w:val="0"/>
                <w:color w:val="000000"/>
                <w:kern w:val="0"/>
                <w:sz w:val="24"/>
                <w:szCs w:val="24"/>
                <w:u w:val="none"/>
                <w:lang w:val="en-US" w:eastAsia="zh-CN" w:bidi="ar"/>
              </w:rPr>
              <w:t>挂牌成立合肥市车网互动技术验证中心，为车企、桩企提供新品适配、协议验证、技术研发支撑服务。构建车-桩-网协同检测体系，配备6套专业监测设备，开展V2G设备全维度测试</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首创量子直流电能表，基于量子隧穿效应将电能测量溯源至物理常数，从原理上消除了传统分流器温漂、老化等工程难题</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采用5G+量子保密通信，突破了无线量子密钥实时供给关键技术，解决充电桩量大点多面广的安全通信难题</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应用变压器柔直性互联技术，促进示范站台区能量互济、负荷疏解，变压器利用率提升</w:t>
            </w:r>
            <w:r>
              <w:rPr>
                <w:rFonts w:hint="eastAsia" w:ascii="Times New Roman" w:hAnsi="Times New Roman" w:eastAsia="方正仿宋_GB2312" w:cs="Times New Roman"/>
                <w:i w:val="0"/>
                <w:iCs w:val="0"/>
                <w:color w:val="000000"/>
                <w:kern w:val="0"/>
                <w:sz w:val="24"/>
                <w:szCs w:val="24"/>
                <w:u w:val="none"/>
                <w:lang w:val="en-US" w:eastAsia="zh-CN" w:bidi="ar"/>
              </w:rPr>
              <w:t>15%—20%</w:t>
            </w:r>
            <w:r>
              <w:rPr>
                <w:rFonts w:hint="default" w:ascii="Times New Roman" w:hAnsi="Times New Roman" w:eastAsia="方正仿宋_GB2312" w:cs="Times New Roman"/>
                <w:i w:val="0"/>
                <w:iCs w:val="0"/>
                <w:color w:val="000000"/>
                <w:kern w:val="0"/>
                <w:sz w:val="24"/>
                <w:szCs w:val="24"/>
                <w:u w:val="none"/>
                <w:lang w:val="en-US" w:eastAsia="zh-CN" w:bidi="ar"/>
              </w:rPr>
              <w:t>，故障停电时间缩短90%</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开发皖电量子云平台，远程调用本源“悟空</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祖冲之二号”等量子计算机真机算力，快速预测区域电力市场需求，实时生成车网互动调度策略，解决市场引导时效性不足的难题。</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2086D969">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eastAsia" w:ascii="Times New Roman" w:hAnsi="Times New Roman" w:eastAsia="方正仿宋_GB2312" w:cs="Times New Roman"/>
                <w:i w:val="0"/>
                <w:iCs w:val="0"/>
                <w:color w:val="000000"/>
                <w:kern w:val="0"/>
                <w:sz w:val="24"/>
                <w:szCs w:val="24"/>
                <w:u w:val="none"/>
                <w:lang w:val="en-US" w:eastAsia="zh-CN" w:bidi="ar"/>
              </w:rPr>
              <w:t>项目</w:t>
            </w:r>
            <w:r>
              <w:rPr>
                <w:rFonts w:hint="default" w:ascii="Times New Roman" w:hAnsi="Times New Roman" w:eastAsia="方正仿宋_GB2312" w:cs="Times New Roman"/>
                <w:i w:val="0"/>
                <w:iCs w:val="0"/>
                <w:color w:val="000000"/>
                <w:kern w:val="0"/>
                <w:sz w:val="24"/>
                <w:szCs w:val="24"/>
                <w:u w:val="none"/>
                <w:lang w:val="en-US" w:eastAsia="zh-CN" w:bidi="ar"/>
              </w:rPr>
              <w:t>规模化聚合新能源汽车充放电资源，可削减电网尖峰负荷</w:t>
            </w:r>
            <w:r>
              <w:rPr>
                <w:rFonts w:hint="eastAsia" w:ascii="Times New Roman" w:hAnsi="Times New Roman" w:eastAsia="方正仿宋_GB2312" w:cs="Times New Roman"/>
                <w:i w:val="0"/>
                <w:iCs w:val="0"/>
                <w:color w:val="000000"/>
                <w:kern w:val="0"/>
                <w:sz w:val="24"/>
                <w:szCs w:val="24"/>
                <w:u w:val="none"/>
                <w:lang w:val="en-US" w:eastAsia="zh-CN" w:bidi="ar"/>
              </w:rPr>
              <w:t>1%～4%</w:t>
            </w:r>
            <w:r>
              <w:rPr>
                <w:rFonts w:hint="default" w:ascii="Times New Roman" w:hAnsi="Times New Roman" w:eastAsia="方正仿宋_GB2312" w:cs="Times New Roman"/>
                <w:i w:val="0"/>
                <w:iCs w:val="0"/>
                <w:color w:val="000000"/>
                <w:kern w:val="0"/>
                <w:sz w:val="24"/>
                <w:szCs w:val="24"/>
                <w:u w:val="none"/>
                <w:lang w:val="en-US" w:eastAsia="zh-CN" w:bidi="ar"/>
              </w:rPr>
              <w:t>，提升新型电力系统安全稳定运行水平</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车网互动可降低电网调峰成本约30%，极大缓解峰值时段的电网调峰难度和压力，对应可延缓电网投资约2%</w:t>
            </w:r>
            <w:r>
              <w:rPr>
                <w:rFonts w:hint="eastAsia" w:ascii="Times New Roman" w:hAnsi="Times New Roman" w:eastAsia="方正仿宋_GB2312" w:cs="Times New Roman"/>
                <w:i w:val="0"/>
                <w:iCs w:val="0"/>
                <w:color w:val="000000"/>
                <w:kern w:val="0"/>
                <w:sz w:val="24"/>
                <w:szCs w:val="24"/>
                <w:u w:val="none"/>
                <w:lang w:val="en-US" w:eastAsia="zh-CN" w:bidi="ar"/>
              </w:rPr>
              <w:t>；</w:t>
            </w:r>
            <w:r>
              <w:rPr>
                <w:rFonts w:hint="default" w:ascii="Times New Roman" w:hAnsi="Times New Roman" w:eastAsia="方正仿宋_GB2312" w:cs="Times New Roman"/>
                <w:i w:val="0"/>
                <w:iCs w:val="0"/>
                <w:color w:val="000000"/>
                <w:kern w:val="0"/>
                <w:sz w:val="24"/>
                <w:szCs w:val="24"/>
                <w:u w:val="none"/>
                <w:lang w:val="en-US" w:eastAsia="zh-CN" w:bidi="ar"/>
              </w:rPr>
              <w:t>联合蔚来、比亚迪等龙头企业开展车网互动实测，有望带动车网互动市场规模0.35亿元。在居民家用V2G领域，结合智能充放电策略，年均降低每户用车成本3000元（按日均放电量12度，峰谷价差0.7元测算），提升用户购买新能源汽车参与车网互动积极性。</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26A25F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合肥电力安装有限公司、国网智慧车联网技术有限公司</w:t>
            </w:r>
          </w:p>
        </w:tc>
      </w:tr>
      <w:tr w14:paraId="64F8B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732" w:type="dxa"/>
            <w:tcBorders>
              <w:top w:val="single" w:color="000000" w:sz="4" w:space="0"/>
              <w:left w:val="single" w:color="000000" w:sz="4" w:space="0"/>
              <w:bottom w:val="single" w:color="000000" w:sz="4" w:space="0"/>
              <w:right w:val="single" w:color="000000" w:sz="4" w:space="0"/>
            </w:tcBorders>
            <w:noWrap w:val="0"/>
            <w:vAlign w:val="center"/>
          </w:tcPr>
          <w:p w14:paraId="491BDCE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20</w:t>
            </w:r>
          </w:p>
        </w:tc>
        <w:tc>
          <w:tcPr>
            <w:tcW w:w="1240" w:type="dxa"/>
            <w:tcBorders>
              <w:top w:val="single" w:color="000000" w:sz="4" w:space="0"/>
              <w:left w:val="single" w:color="000000" w:sz="4" w:space="0"/>
              <w:bottom w:val="single" w:color="000000" w:sz="4" w:space="0"/>
              <w:right w:val="single" w:color="000000" w:sz="4" w:space="0"/>
            </w:tcBorders>
            <w:noWrap w:val="0"/>
            <w:vAlign w:val="center"/>
          </w:tcPr>
          <w:p w14:paraId="232A08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新一代信息技术</w:t>
            </w:r>
          </w:p>
        </w:tc>
        <w:tc>
          <w:tcPr>
            <w:tcW w:w="1400" w:type="dxa"/>
            <w:tcBorders>
              <w:top w:val="single" w:color="000000" w:sz="4" w:space="0"/>
              <w:left w:val="single" w:color="000000" w:sz="4" w:space="0"/>
              <w:bottom w:val="single" w:color="000000" w:sz="4" w:space="0"/>
              <w:right w:val="single" w:color="000000" w:sz="4" w:space="0"/>
            </w:tcBorders>
            <w:noWrap w:val="0"/>
            <w:vAlign w:val="center"/>
          </w:tcPr>
          <w:p w14:paraId="714743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跨流域多航道船闸联合运行智慧平台建设及产业化应用</w:t>
            </w:r>
          </w:p>
        </w:tc>
        <w:tc>
          <w:tcPr>
            <w:tcW w:w="3880" w:type="dxa"/>
            <w:tcBorders>
              <w:top w:val="single" w:color="000000" w:sz="4" w:space="0"/>
              <w:left w:val="single" w:color="000000" w:sz="4" w:space="0"/>
              <w:bottom w:val="single" w:color="000000" w:sz="4" w:space="0"/>
              <w:right w:val="single" w:color="000000" w:sz="4" w:space="0"/>
            </w:tcBorders>
            <w:noWrap w:val="0"/>
            <w:vAlign w:val="center"/>
          </w:tcPr>
          <w:p w14:paraId="237B5FF3">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本项目建成全国首个省级跨流域多航道船闸联合运行智慧平台，全域覆盖千公里航道、22座船闸，服务船舶2万余艘，有效破解船闸运维分散、系统数据孤岛等行业痛点。</w:t>
            </w:r>
          </w:p>
        </w:tc>
        <w:tc>
          <w:tcPr>
            <w:tcW w:w="3890" w:type="dxa"/>
            <w:tcBorders>
              <w:top w:val="single" w:color="000000" w:sz="4" w:space="0"/>
              <w:left w:val="single" w:color="000000" w:sz="4" w:space="0"/>
              <w:bottom w:val="single" w:color="000000" w:sz="4" w:space="0"/>
              <w:right w:val="single" w:color="000000" w:sz="4" w:space="0"/>
            </w:tcBorders>
            <w:noWrap w:val="0"/>
            <w:vAlign w:val="center"/>
          </w:tcPr>
          <w:p w14:paraId="5538E77D">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项目依托自主研发+系统集成模式，攻克水运全要素精准感知、多闸协同智能调度、全生命周期安全风控三大</w:t>
            </w:r>
            <w:r>
              <w:rPr>
                <w:rFonts w:hint="eastAsia" w:ascii="Times New Roman" w:hAnsi="Times New Roman" w:eastAsia="方正仿宋_GB2312" w:cs="Times New Roman"/>
                <w:i w:val="0"/>
                <w:iCs w:val="0"/>
                <w:color w:val="000000"/>
                <w:kern w:val="0"/>
                <w:sz w:val="24"/>
                <w:szCs w:val="24"/>
                <w:u w:val="none"/>
                <w:lang w:val="en-US" w:eastAsia="zh-CN" w:bidi="ar"/>
              </w:rPr>
              <w:t>关键核心技术</w:t>
            </w:r>
            <w:r>
              <w:rPr>
                <w:rFonts w:hint="default" w:ascii="Times New Roman" w:hAnsi="Times New Roman" w:eastAsia="方正仿宋_GB2312" w:cs="Times New Roman"/>
                <w:i w:val="0"/>
                <w:iCs w:val="0"/>
                <w:color w:val="000000"/>
                <w:kern w:val="0"/>
                <w:sz w:val="24"/>
                <w:szCs w:val="24"/>
                <w:u w:val="none"/>
                <w:lang w:val="en-US" w:eastAsia="zh-CN" w:bidi="ar"/>
              </w:rPr>
              <w:t>。</w:t>
            </w:r>
          </w:p>
        </w:tc>
        <w:tc>
          <w:tcPr>
            <w:tcW w:w="3300" w:type="dxa"/>
            <w:tcBorders>
              <w:top w:val="single" w:color="000000" w:sz="4" w:space="0"/>
              <w:left w:val="single" w:color="000000" w:sz="4" w:space="0"/>
              <w:bottom w:val="single" w:color="000000" w:sz="4" w:space="0"/>
              <w:right w:val="single" w:color="000000" w:sz="4" w:space="0"/>
            </w:tcBorders>
            <w:noWrap w:val="0"/>
            <w:vAlign w:val="center"/>
          </w:tcPr>
          <w:p w14:paraId="24B6B2F2">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项目凝练形成可复制、可推广的智慧水运“安徽样板方案”，已在多省份落地推广，有力赋能长三角水运一体化高质量发展。</w:t>
            </w:r>
          </w:p>
        </w:tc>
        <w:tc>
          <w:tcPr>
            <w:tcW w:w="1219" w:type="dxa"/>
            <w:tcBorders>
              <w:top w:val="single" w:color="000000" w:sz="4" w:space="0"/>
              <w:left w:val="single" w:color="000000" w:sz="4" w:space="0"/>
              <w:bottom w:val="single" w:color="000000" w:sz="4" w:space="0"/>
              <w:right w:val="single" w:color="000000" w:sz="4" w:space="0"/>
            </w:tcBorders>
            <w:noWrap w:val="0"/>
            <w:vAlign w:val="center"/>
          </w:tcPr>
          <w:p w14:paraId="41AFFE3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2312" w:cs="Times New Roman"/>
                <w:i w:val="0"/>
                <w:iCs w:val="0"/>
                <w:color w:val="000000"/>
                <w:sz w:val="24"/>
                <w:szCs w:val="24"/>
                <w:u w:val="none"/>
              </w:rPr>
            </w:pPr>
            <w:r>
              <w:rPr>
                <w:rFonts w:hint="default" w:ascii="Times New Roman" w:hAnsi="Times New Roman" w:eastAsia="方正仿宋_GB2312" w:cs="Times New Roman"/>
                <w:i w:val="0"/>
                <w:iCs w:val="0"/>
                <w:color w:val="000000"/>
                <w:kern w:val="0"/>
                <w:sz w:val="24"/>
                <w:szCs w:val="24"/>
                <w:u w:val="none"/>
                <w:lang w:val="en-US" w:eastAsia="zh-CN" w:bidi="ar"/>
              </w:rPr>
              <w:t>安徽省港航建设投资集团有限公司</w:t>
            </w:r>
          </w:p>
        </w:tc>
      </w:tr>
    </w:tbl>
    <w:p w14:paraId="51D03C8E">
      <w:pPr>
        <w:pStyle w:val="3"/>
        <w:rPr>
          <w:rFonts w:hint="default" w:ascii="Times New Roman" w:hAnsi="Times New Roman" w:eastAsia="方正仿宋_GBK" w:cs="Times New Roman"/>
          <w:color w:val="000000"/>
          <w:kern w:val="2"/>
          <w:sz w:val="32"/>
          <w:szCs w:val="32"/>
          <w:lang w:val="en-US" w:eastAsia="zh-CN" w:bidi="ar-SA"/>
        </w:rPr>
      </w:pPr>
    </w:p>
    <w:p w14:paraId="2CABF8CE">
      <w:bookmarkStart w:id="0" w:name="_GoBack"/>
      <w:bookmarkEnd w:id="0"/>
    </w:p>
    <w:sectPr>
      <w:pgSz w:w="16838" w:h="11906" w:orient="landscape"/>
      <w:pgMar w:top="567" w:right="567" w:bottom="567" w:left="56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A57BA0"/>
    <w:rsid w:val="70A57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lock Text"/>
    <w:unhideWhenUsed/>
    <w:qFormat/>
    <w:uiPriority w:val="99"/>
    <w:pPr>
      <w:widowControl w:val="0"/>
      <w:spacing w:after="120"/>
      <w:ind w:left="1440" w:leftChars="700" w:right="1440" w:rightChars="700"/>
      <w:jc w:val="both"/>
    </w:pPr>
    <w:rPr>
      <w:rFonts w:ascii="Calibri" w:hAnsi="Calibri" w:eastAsia="宋体" w:cs="Times New Roman"/>
      <w:kern w:val="2"/>
      <w:sz w:val="21"/>
      <w:szCs w:val="24"/>
      <w:lang w:val="en-US" w:eastAsia="zh-CN" w:bidi="ar-SA"/>
    </w:rPr>
  </w:style>
  <w:style w:type="paragraph" w:styleId="3">
    <w:name w:val="Body Text"/>
    <w:qFormat/>
    <w:uiPriority w:val="0"/>
    <w:pPr>
      <w:widowControl w:val="0"/>
      <w:spacing w:afterLines="0" w:afterAutospacing="0"/>
      <w:ind w:firstLine="0" w:firstLineChars="0"/>
      <w:jc w:val="both"/>
    </w:pPr>
    <w:rPr>
      <w:rFonts w:ascii="Times New Roman" w:hAnsi="Times New Roman" w:eastAsia="宋体" w:cs="Times New Roman"/>
      <w:kern w:val="2"/>
      <w:sz w:val="2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2026-08-04T06:29:00Z</dcterms:created>
  <dc:creator>何玉清</dc:creator>
  <cp:lastModifiedBy>何玉清</cp:lastModifiedBy>
  <dcterms:modified xsi:type="dcterms:W3CDTF">2026-08-04T06:29:45Z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32633D9F40E64FD384143BD079AE5990_11</vt:lpwstr>
  </property>
  <property fmtid="{D5CDD505-2E9C-101B-9397-08002B2CF9AE}" pid="4" name="KSOTemplateDocerSaveRecord">
    <vt:lpwstr>eyJoZGlkIjoiMjViNmRhNmE0NmEzNDMxMTIyOGUyMTY0MWE5MDhhMWEiLCJ1c2VySWQiOiI1NzEwNzY0NDEifQ==</vt:lpwstr>
  </property>
</Properties>
</file>