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C0203">
      <w:pPr>
        <w:spacing w:line="600" w:lineRule="exact"/>
        <w:ind w:firstLine="880" w:firstLineChars="200"/>
        <w:jc w:val="both"/>
        <w:rPr>
          <w:rFonts w:hint="default" w:ascii="Times New Roman" w:hAnsi="Times New Roman" w:eastAsia="方正小标宋简体" w:cs="Times New Roman"/>
          <w:color w:val="000000"/>
          <w:sz w:val="44"/>
          <w:szCs w:val="44"/>
          <w:shd w:val="clear" w:color="auto" w:fill="FFFFFF"/>
        </w:rPr>
      </w:pPr>
    </w:p>
    <w:p w14:paraId="77DE0EF0">
      <w:pPr>
        <w:spacing w:line="600" w:lineRule="exact"/>
        <w:ind w:firstLine="880" w:firstLineChars="200"/>
        <w:jc w:val="both"/>
        <w:rPr>
          <w:rFonts w:hint="default" w:ascii="Times New Roman" w:hAnsi="Times New Roman" w:eastAsia="方正小标宋简体" w:cs="Times New Roman"/>
          <w:color w:val="000000"/>
          <w:sz w:val="44"/>
          <w:szCs w:val="44"/>
          <w:shd w:val="clear" w:color="auto" w:fill="FFFFFF"/>
        </w:rPr>
      </w:pPr>
      <w:bookmarkStart w:id="0" w:name="_GoBack"/>
      <w:r>
        <w:rPr>
          <w:rFonts w:hint="default" w:ascii="Times New Roman" w:hAnsi="Times New Roman" w:eastAsia="方正小标宋简体" w:cs="Times New Roman"/>
          <w:color w:val="000000"/>
          <w:sz w:val="44"/>
          <w:szCs w:val="44"/>
          <w:shd w:val="clear" w:color="auto" w:fill="FFFFFF"/>
        </w:rPr>
        <w:t>芜湖市绿色工厂</w:t>
      </w:r>
      <w:r>
        <w:rPr>
          <w:rFonts w:hint="default" w:ascii="Times New Roman" w:hAnsi="Times New Roman" w:eastAsia="方正小标宋简体" w:cs="Times New Roman"/>
          <w:color w:val="000000"/>
          <w:sz w:val="44"/>
          <w:szCs w:val="44"/>
          <w:shd w:val="clear" w:color="auto" w:fill="FFFFFF"/>
          <w:lang w:eastAsia="zh-CN"/>
        </w:rPr>
        <w:t>培育及管理暂行</w:t>
      </w:r>
      <w:r>
        <w:rPr>
          <w:rFonts w:hint="default" w:ascii="Times New Roman" w:hAnsi="Times New Roman" w:eastAsia="方正小标宋简体" w:cs="Times New Roman"/>
          <w:color w:val="000000"/>
          <w:sz w:val="44"/>
          <w:szCs w:val="44"/>
          <w:shd w:val="clear" w:color="auto" w:fill="FFFFFF"/>
        </w:rPr>
        <w:t>办法</w:t>
      </w:r>
    </w:p>
    <w:bookmarkEnd w:id="0"/>
    <w:p w14:paraId="2AF30F93">
      <w:pPr>
        <w:widowControl w:val="0"/>
        <w:spacing w:line="600" w:lineRule="exact"/>
        <w:ind w:firstLine="880" w:firstLineChars="200"/>
        <w:jc w:val="both"/>
        <w:rPr>
          <w:rFonts w:hint="default" w:ascii="Times New Roman" w:hAnsi="Times New Roman" w:eastAsia="方正小标宋简体" w:cs="Times New Roman"/>
          <w:color w:val="000000"/>
          <w:kern w:val="2"/>
          <w:sz w:val="44"/>
          <w:szCs w:val="44"/>
          <w:shd w:val="clear" w:color="auto" w:fill="FFFFFF"/>
          <w:lang w:val="en-US" w:eastAsia="zh-CN" w:bidi="ar-SA"/>
        </w:rPr>
      </w:pPr>
    </w:p>
    <w:p w14:paraId="7FE39AA6">
      <w:pPr>
        <w:widowControl w:val="0"/>
        <w:spacing w:line="600" w:lineRule="exact"/>
        <w:ind w:left="0" w:leftChars="0" w:firstLine="0" w:firstLineChars="0"/>
        <w:jc w:val="center"/>
        <w:rPr>
          <w:rFonts w:hint="default" w:ascii="Times New Roman" w:hAnsi="Times New Roman" w:eastAsia="黑体"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第一章 总则</w:t>
      </w:r>
    </w:p>
    <w:p w14:paraId="3B960735">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第一条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为进一步完善芜湖市绿色制造和服务体系建设，发挥绿色工厂在制造业绿色低碳转型中的基础性和导向性作用，加快形成规范化、长效化培育机制，打造绿色制造领军力量，根据工业和信息化部《绿色工厂梯度培育及管理暂行办法》（工信部节〔2024〕13号）安徽省《贯彻落实加快推动制造业绿色化发展指导意见的实施意见》《芜湖市工业领域碳达峰实施方案》等文件要求，制定本办法。</w:t>
      </w:r>
    </w:p>
    <w:p w14:paraId="4D117EA8">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第二条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本办法所称绿色工厂是指实现用地集约化、原料无害化、生产洁净化、废物资源化、能源低碳化的企业，是绿色制造核心实施单元。</w:t>
      </w:r>
    </w:p>
    <w:p w14:paraId="5B7B4714">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第三条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绿色工厂培育及管理遵循企业主体、政府引导、标准引领和全面覆盖的原则，以绿色工厂培育为导向，优化政策环境，引导第三方机构提供专业化服务，激发企业绿色制造的内生动力，发挥绿色制造标杆示范带动作用，推动行业、区域绿色低碳转型升级。</w:t>
      </w:r>
    </w:p>
    <w:p w14:paraId="1C2A4A79">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第四条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芜湖市工业和信息化局负责全市绿色工厂培育工作的宏观指导、统筹协调和监督管理，组织制定评价标准，遴选发布芜湖市绿色工厂企业名单。各县市区工业和信息化主管部门依据本办法负责辖区内绿色工厂的培育、管理和推荐工作。</w:t>
      </w:r>
    </w:p>
    <w:p w14:paraId="3292036F">
      <w:pPr>
        <w:widowControl w:val="0"/>
        <w:spacing w:line="600" w:lineRule="exact"/>
        <w:ind w:left="0" w:leftChars="0" w:firstLine="0" w:firstLineChars="0"/>
        <w:jc w:val="center"/>
        <w:rPr>
          <w:rFonts w:hint="default" w:ascii="Times New Roman" w:hAnsi="Times New Roman" w:eastAsia="黑体"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第二章 培育要求</w:t>
      </w:r>
    </w:p>
    <w:p w14:paraId="56EEC53E">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第五条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各县市区工业和信息化主管部门应将辖区内具备培育条件且有提升潜力的企业列为培育对象，制定培育计划，引导和支持培育对象对照绿色工厂相关标准要求，谋划实施绿色化改造升级项目，持续完善绿色发展各项工作。</w:t>
      </w:r>
    </w:p>
    <w:p w14:paraId="6DE45581">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第六条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绿色工厂培育对象应当符合下列条件：</w:t>
      </w:r>
    </w:p>
    <w:p w14:paraId="2D77DD58">
      <w:pPr>
        <w:widowControl w:val="0"/>
        <w:spacing w:line="600" w:lineRule="exact"/>
        <w:ind w:firstLine="640" w:firstLineChars="20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（一）注册地和实际生产场所在芜湖市行政区域范围内，依法设立并具有独立法人资格或者视同法人的独立核算单位，且从事实际生产的制造型企业。</w:t>
      </w:r>
    </w:p>
    <w:p w14:paraId="6DE98B3A">
      <w:pPr>
        <w:widowControl w:val="0"/>
        <w:spacing w:line="600" w:lineRule="exact"/>
        <w:ind w:firstLine="640" w:firstLineChars="20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（二）不存在本办法第九条所列情形。</w:t>
      </w:r>
    </w:p>
    <w:p w14:paraId="3445ECF0">
      <w:pPr>
        <w:widowControl w:val="0"/>
        <w:spacing w:line="600" w:lineRule="exact"/>
        <w:ind w:firstLine="640" w:firstLineChars="20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（三）工厂应明确绿色制造相关管理层职责，制定绿色低碳发展中长期规划及年度量化目标。</w:t>
      </w:r>
    </w:p>
    <w:p w14:paraId="4A3C8D75">
      <w:pPr>
        <w:widowControl w:val="0"/>
        <w:spacing w:line="600" w:lineRule="exact"/>
        <w:ind w:firstLine="640" w:firstLineChars="20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（四）工厂按照GB/T 19001、GB/T 23331、GB/T 24001、GB/T 45001或相关行业适用的其他标准建立、实施、保持并持续改进质量、环境、能源和职业健康安全管理体系。</w:t>
      </w:r>
    </w:p>
    <w:p w14:paraId="47F34948">
      <w:pPr>
        <w:widowControl w:val="0"/>
        <w:spacing w:line="600" w:lineRule="exact"/>
        <w:ind w:left="0" w:leftChars="0" w:firstLine="0" w:firstLineChars="0"/>
        <w:jc w:val="center"/>
        <w:rPr>
          <w:rFonts w:hint="default" w:ascii="Times New Roman" w:hAnsi="Times New Roman" w:eastAsia="黑体"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第三章 创建程序</w:t>
      </w:r>
    </w:p>
    <w:p w14:paraId="69F0EDD0">
      <w:pPr>
        <w:widowControl w:val="0"/>
        <w:spacing w:line="600" w:lineRule="exact"/>
        <w:ind w:left="0" w:leftChars="0" w:firstLine="640" w:firstLineChars="0"/>
        <w:jc w:val="both"/>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第七条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w:t>
      </w:r>
      <w:r>
        <w:rPr>
          <w:rFonts w:hint="default" w:ascii="Times New Roman" w:hAnsi="Times New Roman" w:eastAsia="仿宋_GB2312" w:cs="Times New Roman"/>
          <w:color w:val="auto"/>
          <w:kern w:val="2"/>
          <w:sz w:val="32"/>
          <w:szCs w:val="32"/>
          <w:shd w:val="clear" w:color="auto" w:fill="FFFFFF"/>
          <w:lang w:val="en-US" w:eastAsia="zh-CN" w:bidi="ar-SA"/>
        </w:rPr>
        <w:t>企业可采取自评价或委托具备评价能力的第三方机构开展评价的方式编写评价报告，评价报告编写参照本办法附件《芜湖市绿色工厂第三方评价报告》。采取第三方评价方式的，第三方评价工作流程参照《绿色工厂梯度培育及管理暂行办法》中《绿色制造第三方评价工作要求》相关规定执行。采取自评价方式的，申报单位对自评价报告的真实性和准确性负责；采取第三方评价方式的，第三方机构对所出具评价报告的真实性和准确性负责。芜湖市绿色工厂认定标准参照国家级绿色制造单位有关标准和要求，其中工业重点领域能效水平达到国家有关部门发布的标杆水平的工厂优先推荐，其他行业优先推荐达到相应国家能源消耗限额标准先进值或1级水平的工厂，对于无适用国家强制性能源消耗限额标准的行业，优先推荐达到行业内领先水平的工厂。</w:t>
      </w:r>
    </w:p>
    <w:p w14:paraId="05371097">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第八条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各县市区工业和信息化主管部门对收到的申请报告及相关材料开展审核，并充分征求当地生态环境、应急管理、市场监管等主管部门意见后，在芜湖市绿色工厂申报时间内将辖区内具有代表性和引领性的工厂推荐至市工业和信息化局（具体申报时间依据当年度申报通知）。市工业和信息化局组织专家对各县区推荐的工厂进行评审，择优确定年度公示名单，公示时间为5个工作日，经公示无异议的认定为芜湖市绿色工厂名单并予以公告。</w:t>
      </w:r>
    </w:p>
    <w:p w14:paraId="6286A60C">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第九条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近三年有下列情况的企业，不得申请、推荐和列入芜湖市绿色工厂名单：</w:t>
      </w:r>
    </w:p>
    <w:p w14:paraId="3D837DB5">
      <w:pPr>
        <w:widowControl w:val="0"/>
        <w:spacing w:line="600" w:lineRule="exact"/>
        <w:ind w:firstLine="640" w:firstLineChars="20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1.未正常经营生产（工商注销、连续停产12个月以上、被市场监督管理部门列入经营异常名单且未被移出等）；</w:t>
      </w:r>
    </w:p>
    <w:p w14:paraId="583E2011">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2.发生安全（含网络安全、数据安全）、质量、环境污染等事故以及偷漏税等违法违规行为；</w:t>
      </w:r>
    </w:p>
    <w:p w14:paraId="77502CEE">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 xml:space="preserve">3.被动态调整出芜湖市绿色工厂名单； </w:t>
      </w:r>
    </w:p>
    <w:p w14:paraId="428B4F4D">
      <w:pPr>
        <w:widowControl w:val="0"/>
        <w:spacing w:line="600" w:lineRule="exact"/>
        <w:ind w:firstLine="640" w:firstLineChars="20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4.在市政府及有关部门相关督查工作中被发现存在严重问题；</w:t>
      </w:r>
    </w:p>
    <w:p w14:paraId="0801CCAD">
      <w:pPr>
        <w:widowControl w:val="0"/>
        <w:spacing w:line="600" w:lineRule="exact"/>
        <w:ind w:firstLine="640" w:firstLineChars="20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5.被列入工业节能监察整改名单且未按要求完成整改；</w:t>
      </w:r>
    </w:p>
    <w:p w14:paraId="09946B64">
      <w:pPr>
        <w:widowControl w:val="0"/>
        <w:spacing w:line="600" w:lineRule="exact"/>
        <w:ind w:firstLine="640" w:firstLineChars="20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6.企业被列为失信被执行人。</w:t>
      </w:r>
    </w:p>
    <w:p w14:paraId="7FC19AE3">
      <w:pPr>
        <w:widowControl w:val="0"/>
        <w:spacing w:line="600" w:lineRule="exact"/>
        <w:ind w:left="0" w:leftChars="0" w:firstLine="0" w:firstLineChars="0"/>
        <w:jc w:val="center"/>
        <w:rPr>
          <w:rFonts w:hint="default" w:ascii="Times New Roman" w:hAnsi="Times New Roman" w:eastAsia="黑体"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第四章 动态管理</w:t>
      </w:r>
    </w:p>
    <w:p w14:paraId="2E1E2B38">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第十条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对绿色制造名单实施动态跟踪。已纳入市级绿色工厂名单的单位按要求每年在规定时间内通过工业节能与绿色发展管理平台（https://green.miit.gov.cn/）填报动态管理表，上报年度绿色制造关键指标情况。</w:t>
      </w:r>
    </w:p>
    <w:p w14:paraId="11F786A1">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第十一条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各县市区工业和信息化主管部门应加强对芜湖市绿色工厂的指导和管理，不定期进行现场抽查复核，对创建成效持续跟踪和研究分析，发现存在重大及以上生产安全和质量事故、Ⅱ级（重大）及以上突发环境污染事件的实时上报，经核实相关情况后，及时从芜湖市绿色工厂名单中移出并进行公告。</w:t>
      </w:r>
    </w:p>
    <w:p w14:paraId="4EDAD8B8">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第十二条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芜湖市绿色工厂名单中的企业存在以下情形的，在发布年度名单时予以除名并进行公告：</w:t>
      </w:r>
    </w:p>
    <w:p w14:paraId="53ACB308">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（一）本办法第九条所列情形；</w:t>
      </w:r>
    </w:p>
    <w:p w14:paraId="2E4C7379">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（二）拒不按时填报动态管理表；</w:t>
      </w:r>
    </w:p>
    <w:p w14:paraId="22D8FA75">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（三）所提交材料或数据存在造假等问题；</w:t>
      </w:r>
    </w:p>
    <w:p w14:paraId="3840627A">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（四）企业自行要求撤销名单。</w:t>
      </w:r>
    </w:p>
    <w:p w14:paraId="79DFE9B2">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发生重大及以上生产安全和质量事故、Ⅱ级（重大）及以上突发环境污染事件的，及时从各层面名单移出并进行公告。</w:t>
      </w:r>
    </w:p>
    <w:p w14:paraId="72980A14">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第十三条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企业因投资、并购、管理或其他原因造成实际生产经营范围、生产地址或组织边界与列入芜湖市绿色工厂名单时相比发生重大变更的，应及时申请再评价，提交修正后的评价报告，经各县市区工业和信息化主管部门初审后报市工业和信息化局，市工业和信息化局对再评价材料进行审核，不再符合标准要求的按程序移出名单，并在发布年度芜湖市绿色工厂名单时予以公告和变更。</w:t>
      </w:r>
    </w:p>
    <w:p w14:paraId="7BC1DCEB">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第十四条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任何组织或个人可针对芜湖市绿色工厂和第三方机构相关信息真实性、准确性等方面存在的问题，向所在地工业和信息化部门实名举报，并提供佐证材料和联系方式。对受理的举报内容，相关工业和信息化部门应及时进行核实，经核实确认存在所举报问题的，视情节轻重要求进行整改，整改不到位的按要求从芜湖市绿色工厂名单移出或将第三方机构列入黑名单。</w:t>
      </w:r>
    </w:p>
    <w:p w14:paraId="52469797">
      <w:pPr>
        <w:widowControl w:val="0"/>
        <w:spacing w:line="600" w:lineRule="exact"/>
        <w:ind w:left="0" w:leftChars="0" w:firstLine="0" w:firstLineChars="0"/>
        <w:jc w:val="center"/>
        <w:rPr>
          <w:rFonts w:hint="default" w:ascii="Times New Roman" w:hAnsi="Times New Roman" w:eastAsia="黑体"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第五章 配套机制</w:t>
      </w:r>
    </w:p>
    <w:p w14:paraId="50237198">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第十五条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各县市区工业和信息化主管部门应对认定公布的芜湖市绿色工厂依照相关文件给予政策支持，联合有关部门依法依规在规划布局、技术改造、专项资金申请、政府采购、试点示范、金融服务、品牌宣传等方面对芜湖市绿色工厂给予重点支持。积极开展绿色制造有关标准和典型经验宣贯，加强芜湖市绿色工厂培育。</w:t>
      </w:r>
    </w:p>
    <w:p w14:paraId="596C0FF5">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第十六条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第三方机构应加强自身能力建设和专业人员培养，主动向培育对象宣贯绿色制造相关理念和要求，推广先进成熟经验，深入挖掘绿色发展工作亮点和潜在改进空间，提出合理化提升建议，跟踪培育对象绿色发展过程的需求，提供绿色制造系统解决方案和持续性技术服务。充分发挥第三方机构、工业节能诊断服务机构、行业协会、科研机构、金融机构等在绿色制造体系建设过程中的支撑作用。鼓励企业与行业协会、科研机构、咨询服务机构开展广泛合作，推动绿色低碳技术创新，积极参与国家和地方性绿色标准的制定，提升绿色低碳评价数据质量，发挥绿色制造企业的示范引领作用。</w:t>
      </w:r>
    </w:p>
    <w:p w14:paraId="64E7D2DC">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第十七条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绿色工厂应积极通过公开渠道展示宣传绿色制造先进技术和典型做法，按照生态环境主管部门相关规定要求披露环境信息，发挥先进示范引领带动作用。鼓励绿色工厂编制绿色低碳发展报告。</w:t>
      </w:r>
    </w:p>
    <w:p w14:paraId="1E6D187D">
      <w:pPr>
        <w:widowControl w:val="0"/>
        <w:spacing w:line="600" w:lineRule="exact"/>
        <w:ind w:left="0" w:leftChars="0" w:firstLine="0" w:firstLineChars="0"/>
        <w:jc w:val="center"/>
        <w:rPr>
          <w:rFonts w:hint="default" w:ascii="Times New Roman" w:hAnsi="Times New Roman" w:eastAsia="黑体"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第六章 附则</w:t>
      </w:r>
    </w:p>
    <w:p w14:paraId="133CC3B7">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第十八条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本办法由芜湖市工业和信息化局负责解释。</w:t>
      </w:r>
    </w:p>
    <w:p w14:paraId="229B0560">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第十九条</w:t>
      </w:r>
      <w:r>
        <w:rPr>
          <w:rFonts w:hint="default" w:ascii="Times New Roman" w:hAnsi="Times New Roman" w:eastAsia="仿宋_GB2312" w:cs="Times New Roman"/>
          <w:color w:val="000000"/>
          <w:kern w:val="2"/>
          <w:sz w:val="32"/>
          <w:szCs w:val="32"/>
          <w:shd w:val="clear" w:color="auto" w:fill="FFFFFF"/>
          <w:lang w:val="en-US" w:eastAsia="zh-CN" w:bidi="ar-SA"/>
        </w:rPr>
        <w:t xml:space="preserve"> 本办法自发布之日起实施，有效期</w:t>
      </w:r>
      <w:r>
        <w:rPr>
          <w:rFonts w:hint="eastAsia" w:ascii="Times New Roman" w:hAnsi="Times New Roman" w:cs="Times New Roman"/>
          <w:color w:val="000000"/>
          <w:kern w:val="2"/>
          <w:sz w:val="32"/>
          <w:szCs w:val="32"/>
          <w:shd w:val="clear" w:color="auto" w:fill="FFFFFF"/>
          <w:lang w:val="en-US" w:eastAsia="zh-CN" w:bidi="ar-SA"/>
        </w:rPr>
        <w:t>2</w:t>
      </w:r>
      <w:r>
        <w:rPr>
          <w:rFonts w:hint="default" w:ascii="Times New Roman" w:hAnsi="Times New Roman" w:eastAsia="仿宋_GB2312" w:cs="Times New Roman"/>
          <w:color w:val="000000"/>
          <w:kern w:val="2"/>
          <w:sz w:val="32"/>
          <w:szCs w:val="32"/>
          <w:shd w:val="clear" w:color="auto" w:fill="FFFFFF"/>
          <w:lang w:val="en-US" w:eastAsia="zh-CN" w:bidi="ar-SA"/>
        </w:rPr>
        <w:t>年，原芜湖市工业和信息化局发布的《芜湖市绿色工厂认定管理办法》</w:t>
      </w:r>
      <w:r>
        <w:rPr>
          <w:rFonts w:hint="default" w:ascii="Times New Roman" w:hAnsi="Times New Roman" w:eastAsia="仿宋_GB2312" w:cs="Times New Roman"/>
          <w:color w:val="000000"/>
          <w:sz w:val="32"/>
          <w:szCs w:val="22"/>
          <w:lang w:val="en-US" w:eastAsia="zh-CN"/>
          <w14:ligatures w14:val="standardContextual"/>
        </w:rPr>
        <w:t>（芜经信速递〔2021〕510号）</w:t>
      </w:r>
      <w:r>
        <w:rPr>
          <w:rFonts w:hint="default" w:ascii="Times New Roman" w:hAnsi="Times New Roman" w:eastAsia="仿宋_GB2312" w:cs="Times New Roman"/>
          <w:color w:val="000000"/>
          <w:kern w:val="2"/>
          <w:sz w:val="32"/>
          <w:szCs w:val="32"/>
          <w:shd w:val="clear" w:color="auto" w:fill="FFFFFF"/>
          <w:lang w:val="en-US" w:eastAsia="zh-CN" w:bidi="ar-SA"/>
        </w:rPr>
        <w:t>同时废止。</w:t>
      </w:r>
    </w:p>
    <w:p w14:paraId="75C8441F">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p>
    <w:p w14:paraId="7E87D75F">
      <w:pPr>
        <w:widowControl w:val="0"/>
        <w:spacing w:line="600" w:lineRule="exact"/>
        <w:ind w:left="0" w:leftChars="0" w:firstLine="64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_GB2312" w:cs="Times New Roman"/>
          <w:color w:val="000000"/>
          <w:kern w:val="2"/>
          <w:sz w:val="32"/>
          <w:szCs w:val="32"/>
          <w:shd w:val="clear" w:color="auto" w:fill="FFFFFF"/>
          <w:lang w:val="en-US" w:eastAsia="zh-CN" w:bidi="ar-SA"/>
        </w:rPr>
        <w:t>附件：芜湖市绿色工厂第三方评价报告</w:t>
      </w:r>
    </w:p>
    <w:p w14:paraId="5E6F9356">
      <w:pPr>
        <w:spacing w:line="600" w:lineRule="exact"/>
        <w:ind w:firstLine="640" w:firstLineChars="200"/>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br w:type="page"/>
      </w:r>
    </w:p>
    <w:p w14:paraId="7AFDF5AD">
      <w:pPr>
        <w:widowControl w:val="0"/>
        <w:spacing w:line="600" w:lineRule="exact"/>
        <w:ind w:left="0" w:leftChars="0" w:firstLine="0" w:firstLineChars="0"/>
        <w:jc w:val="both"/>
        <w:rPr>
          <w:rFonts w:hint="default" w:ascii="Times New Roman" w:hAnsi="Times New Roman" w:eastAsia="黑体" w:cs="Times New Roman"/>
          <w:color w:val="000000"/>
          <w:kern w:val="2"/>
          <w:sz w:val="32"/>
          <w:szCs w:val="32"/>
          <w:shd w:val="clear" w:color="auto" w:fill="FFFFFF"/>
          <w:lang w:val="en-US" w:eastAsia="zh-CN" w:bidi="ar-SA"/>
        </w:rPr>
      </w:pPr>
      <w:r>
        <w:rPr>
          <w:rFonts w:hint="default" w:ascii="Times New Roman" w:hAnsi="Times New Roman" w:eastAsia="黑体" w:cs="Times New Roman"/>
          <w:color w:val="000000"/>
          <w:kern w:val="2"/>
          <w:sz w:val="32"/>
          <w:szCs w:val="32"/>
          <w:shd w:val="clear" w:color="auto" w:fill="FFFFFF"/>
          <w:lang w:val="en-US" w:eastAsia="zh-CN" w:bidi="ar-SA"/>
        </w:rPr>
        <w:t>附件</w:t>
      </w:r>
    </w:p>
    <w:p w14:paraId="4EA2018F">
      <w:pPr>
        <w:widowControl w:val="0"/>
        <w:spacing w:line="600" w:lineRule="exact"/>
        <w:ind w:left="0" w:leftChars="0" w:firstLine="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p>
    <w:p w14:paraId="35EA2FB2">
      <w:pPr>
        <w:widowControl w:val="0"/>
        <w:spacing w:line="600" w:lineRule="exact"/>
        <w:ind w:left="0" w:leftChars="0" w:firstLine="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p>
    <w:p w14:paraId="4B28D7AF">
      <w:pPr>
        <w:widowControl w:val="0"/>
        <w:spacing w:line="600" w:lineRule="exact"/>
        <w:ind w:left="0" w:leftChars="0" w:firstLine="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p>
    <w:p w14:paraId="36A52798">
      <w:pPr>
        <w:widowControl w:val="0"/>
        <w:spacing w:line="600" w:lineRule="exact"/>
        <w:ind w:left="0" w:leftChars="0" w:firstLine="0" w:firstLineChars="0"/>
        <w:jc w:val="both"/>
        <w:rPr>
          <w:rFonts w:hint="default" w:ascii="Times New Roman" w:hAnsi="Times New Roman" w:eastAsia="仿宋_GB2312" w:cs="Times New Roman"/>
          <w:color w:val="000000"/>
          <w:kern w:val="2"/>
          <w:sz w:val="32"/>
          <w:szCs w:val="32"/>
          <w:shd w:val="clear" w:color="auto" w:fill="FFFFFF"/>
          <w:lang w:val="en-US" w:eastAsia="zh-CN" w:bidi="ar-SA"/>
        </w:rPr>
      </w:pPr>
    </w:p>
    <w:p w14:paraId="5E9CBE8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color w:val="000000"/>
          <w:kern w:val="2"/>
          <w:sz w:val="56"/>
          <w:szCs w:val="56"/>
          <w:shd w:val="clear" w:color="auto" w:fill="FFFFFF"/>
          <w:lang w:val="en-US" w:eastAsia="zh-CN" w:bidi="ar-SA"/>
        </w:rPr>
      </w:pPr>
      <w:r>
        <w:rPr>
          <w:rFonts w:hint="default" w:ascii="Times New Roman" w:hAnsi="Times New Roman" w:eastAsia="黑体" w:cs="Times New Roman"/>
          <w:color w:val="000000"/>
          <w:kern w:val="2"/>
          <w:sz w:val="56"/>
          <w:szCs w:val="56"/>
          <w:shd w:val="clear" w:color="auto" w:fill="FFFFFF"/>
          <w:lang w:val="en-US" w:eastAsia="zh-CN" w:bidi="ar-SA"/>
        </w:rPr>
        <w:t>芜湖市绿色工厂第三方评价报告</w:t>
      </w:r>
    </w:p>
    <w:p w14:paraId="17DB03D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color w:val="000000"/>
          <w:kern w:val="2"/>
          <w:sz w:val="56"/>
          <w:szCs w:val="56"/>
          <w:shd w:val="clear" w:color="auto" w:fill="FFFFFF"/>
          <w:lang w:val="en-US" w:eastAsia="zh-CN" w:bidi="ar-SA"/>
        </w:rPr>
      </w:pPr>
    </w:p>
    <w:p w14:paraId="654C28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color w:val="000000"/>
          <w:kern w:val="2"/>
          <w:sz w:val="56"/>
          <w:szCs w:val="56"/>
          <w:shd w:val="clear" w:color="auto" w:fill="FFFFFF"/>
          <w:lang w:val="en-US" w:eastAsia="zh-CN" w:bidi="ar-SA"/>
        </w:rPr>
      </w:pPr>
    </w:p>
    <w:p w14:paraId="1CD0B3A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color w:val="000000"/>
          <w:kern w:val="2"/>
          <w:sz w:val="36"/>
          <w:szCs w:val="36"/>
          <w:shd w:val="clear" w:color="auto" w:fill="FFFFFF"/>
          <w:lang w:val="en-US" w:eastAsia="zh-CN" w:bidi="ar-SA"/>
        </w:rPr>
      </w:pPr>
    </w:p>
    <w:p w14:paraId="120C6F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color w:val="000000"/>
          <w:kern w:val="2"/>
          <w:sz w:val="36"/>
          <w:szCs w:val="36"/>
          <w:u w:val="single"/>
          <w:shd w:val="clear" w:color="auto" w:fill="FFFFFF"/>
          <w:lang w:val="en-US" w:eastAsia="zh-CN" w:bidi="ar-SA"/>
        </w:rPr>
      </w:pPr>
      <w:r>
        <w:rPr>
          <w:rFonts w:hint="default" w:ascii="Times New Roman" w:hAnsi="Times New Roman" w:eastAsia="仿宋_GB2312" w:cs="Times New Roman"/>
          <w:color w:val="000000"/>
          <w:kern w:val="2"/>
          <w:sz w:val="36"/>
          <w:szCs w:val="36"/>
          <w:shd w:val="clear" w:color="auto" w:fill="FFFFFF"/>
          <w:lang w:val="en-US" w:eastAsia="zh-CN" w:bidi="ar-SA"/>
        </w:rPr>
        <w:t>工  厂  名  称：</w:t>
      </w:r>
      <w:r>
        <w:rPr>
          <w:rFonts w:hint="default" w:ascii="Times New Roman" w:hAnsi="Times New Roman" w:eastAsia="仿宋_GB2312" w:cs="Times New Roman"/>
          <w:color w:val="000000"/>
          <w:kern w:val="2"/>
          <w:sz w:val="36"/>
          <w:szCs w:val="36"/>
          <w:u w:val="single"/>
          <w:shd w:val="clear" w:color="auto" w:fill="FFFFFF"/>
          <w:lang w:val="en-US" w:eastAsia="zh-CN" w:bidi="ar-SA"/>
        </w:rPr>
        <w:t xml:space="preserve">                          </w:t>
      </w:r>
    </w:p>
    <w:p w14:paraId="4C85027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color w:val="000000"/>
          <w:kern w:val="2"/>
          <w:sz w:val="36"/>
          <w:szCs w:val="36"/>
          <w:u w:val="single"/>
          <w:shd w:val="clear" w:color="auto" w:fill="FFFFFF"/>
          <w:lang w:val="en-US" w:eastAsia="zh-CN" w:bidi="ar-SA"/>
        </w:rPr>
      </w:pPr>
    </w:p>
    <w:p w14:paraId="3235A35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color w:val="000000"/>
          <w:kern w:val="2"/>
          <w:sz w:val="36"/>
          <w:szCs w:val="36"/>
          <w:u w:val="single"/>
          <w:shd w:val="clear" w:color="auto" w:fill="FFFFFF"/>
          <w:lang w:val="en-US" w:eastAsia="zh-CN" w:bidi="ar-SA"/>
        </w:rPr>
      </w:pPr>
      <w:r>
        <w:rPr>
          <w:rFonts w:hint="default" w:ascii="Times New Roman" w:hAnsi="Times New Roman" w:eastAsia="仿宋_GB2312" w:cs="Times New Roman"/>
          <w:color w:val="000000"/>
          <w:kern w:val="2"/>
          <w:sz w:val="36"/>
          <w:szCs w:val="36"/>
          <w:shd w:val="clear" w:color="auto" w:fill="FFFFFF"/>
          <w:lang w:val="en-US" w:eastAsia="zh-CN" w:bidi="ar-SA"/>
        </w:rPr>
        <w:t>第三方机构名称：</w:t>
      </w:r>
      <w:r>
        <w:rPr>
          <w:rFonts w:hint="default" w:ascii="Times New Roman" w:hAnsi="Times New Roman" w:eastAsia="仿宋_GB2312" w:cs="Times New Roman"/>
          <w:color w:val="000000"/>
          <w:kern w:val="2"/>
          <w:sz w:val="36"/>
          <w:szCs w:val="36"/>
          <w:u w:val="single"/>
          <w:shd w:val="clear" w:color="auto" w:fill="FFFFFF"/>
          <w:lang w:val="en-US" w:eastAsia="zh-CN" w:bidi="ar-SA"/>
        </w:rPr>
        <w:t xml:space="preserve">                          </w:t>
      </w:r>
    </w:p>
    <w:p w14:paraId="144705A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color w:val="000000"/>
          <w:kern w:val="2"/>
          <w:sz w:val="36"/>
          <w:szCs w:val="36"/>
          <w:u w:val="single"/>
          <w:shd w:val="clear" w:color="auto" w:fill="FFFFFF"/>
          <w:lang w:val="en-US" w:eastAsia="zh-CN" w:bidi="ar-SA"/>
        </w:rPr>
      </w:pPr>
    </w:p>
    <w:p w14:paraId="6480D4B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color w:val="000000"/>
          <w:kern w:val="2"/>
          <w:sz w:val="36"/>
          <w:szCs w:val="36"/>
          <w:u w:val="single"/>
          <w:shd w:val="clear" w:color="auto" w:fill="FFFFFF"/>
          <w:lang w:val="en-US" w:eastAsia="zh-CN" w:bidi="ar-SA"/>
        </w:rPr>
      </w:pPr>
    </w:p>
    <w:p w14:paraId="13CA066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color w:val="000000"/>
          <w:kern w:val="2"/>
          <w:sz w:val="36"/>
          <w:szCs w:val="36"/>
          <w:u w:val="single"/>
          <w:shd w:val="clear" w:color="auto" w:fill="FFFFFF"/>
          <w:lang w:val="en-US" w:eastAsia="zh-CN" w:bidi="ar-SA"/>
        </w:rPr>
      </w:pPr>
    </w:p>
    <w:p w14:paraId="7630A25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color w:val="000000"/>
          <w:kern w:val="2"/>
          <w:sz w:val="36"/>
          <w:szCs w:val="36"/>
          <w:u w:val="single"/>
          <w:shd w:val="clear" w:color="auto" w:fill="FFFFFF"/>
          <w:lang w:val="en-US" w:eastAsia="zh-CN" w:bidi="ar-SA"/>
        </w:rPr>
      </w:pPr>
    </w:p>
    <w:p w14:paraId="36D7F47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color w:val="000000"/>
          <w:kern w:val="2"/>
          <w:sz w:val="36"/>
          <w:szCs w:val="36"/>
          <w:u w:val="single"/>
          <w:shd w:val="clear" w:color="auto" w:fill="FFFFFF"/>
          <w:lang w:val="en-US" w:eastAsia="zh-CN" w:bidi="ar-SA"/>
        </w:rPr>
      </w:pPr>
    </w:p>
    <w:p w14:paraId="4847283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32"/>
          <w:szCs w:val="32"/>
          <w:u w:val="none"/>
          <w:shd w:val="clear" w:color="auto" w:fill="FFFFFF"/>
          <w:lang w:val="en-US" w:eastAsia="zh-CN" w:bidi="ar-SA"/>
        </w:rPr>
      </w:pPr>
      <w:r>
        <w:rPr>
          <w:rFonts w:hint="default" w:ascii="Times New Roman" w:hAnsi="Times New Roman" w:eastAsia="仿宋_GB2312" w:cs="Times New Roman"/>
          <w:color w:val="000000"/>
          <w:kern w:val="2"/>
          <w:sz w:val="32"/>
          <w:szCs w:val="32"/>
          <w:u w:val="none"/>
          <w:shd w:val="clear" w:color="auto" w:fill="FFFFFF"/>
          <w:lang w:val="en-US" w:eastAsia="zh-CN" w:bidi="ar-SA"/>
        </w:rPr>
        <w:t>芜湖市工业和信息化局制</w:t>
      </w:r>
    </w:p>
    <w:p w14:paraId="3F0601E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000000"/>
          <w:kern w:val="2"/>
          <w:sz w:val="32"/>
          <w:szCs w:val="32"/>
          <w:u w:val="none"/>
          <w:shd w:val="clear" w:color="auto" w:fill="FFFFFF"/>
          <w:lang w:val="en-US" w:eastAsia="zh-CN" w:bidi="ar-SA"/>
        </w:rPr>
      </w:pPr>
      <w:r>
        <w:rPr>
          <w:rFonts w:hint="default" w:ascii="Times New Roman" w:hAnsi="Times New Roman" w:eastAsia="仿宋_GB2312" w:cs="Times New Roman"/>
          <w:color w:val="000000"/>
          <w:kern w:val="2"/>
          <w:sz w:val="32"/>
          <w:szCs w:val="32"/>
          <w:u w:val="none"/>
          <w:shd w:val="clear" w:color="auto" w:fill="FFFFFF"/>
          <w:lang w:val="en-US" w:eastAsia="zh-CN" w:bidi="ar-SA"/>
        </w:rPr>
        <w:t>20  年  月  日</w:t>
      </w:r>
    </w:p>
    <w:p w14:paraId="03BB7766">
      <w:pPr>
        <w:spacing w:line="600" w:lineRule="exact"/>
        <w:ind w:firstLine="640" w:firstLineChars="200"/>
        <w:rPr>
          <w:rFonts w:hint="default" w:ascii="Times New Roman" w:hAnsi="Times New Roman" w:eastAsia="仿宋_GB2312" w:cs="Times New Roman"/>
          <w:color w:val="000000"/>
          <w:sz w:val="32"/>
          <w:szCs w:val="32"/>
          <w:u w:val="none"/>
          <w:shd w:val="clear" w:color="auto" w:fill="FFFFFF"/>
          <w:lang w:val="en-US" w:eastAsia="zh-CN"/>
        </w:rPr>
      </w:pPr>
      <w:r>
        <w:rPr>
          <w:rFonts w:hint="default" w:ascii="Times New Roman" w:hAnsi="Times New Roman" w:eastAsia="仿宋_GB2312" w:cs="Times New Roman"/>
          <w:color w:val="000000"/>
          <w:sz w:val="32"/>
          <w:szCs w:val="32"/>
          <w:u w:val="none"/>
          <w:shd w:val="clear" w:color="auto" w:fill="FFFFFF"/>
          <w:lang w:val="en-US" w:eastAsia="zh-CN"/>
        </w:rPr>
        <w:br w:type="page"/>
      </w:r>
    </w:p>
    <w:p w14:paraId="2D78AC9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小标宋简体" w:cs="Times New Roman"/>
          <w:color w:val="000000"/>
          <w:kern w:val="2"/>
          <w:sz w:val="44"/>
          <w:szCs w:val="44"/>
          <w:u w:val="none"/>
          <w:shd w:val="clear" w:color="auto" w:fill="FFFFFF"/>
          <w:lang w:val="en-US" w:eastAsia="zh-CN" w:bidi="ar-SA"/>
        </w:rPr>
      </w:pPr>
      <w:r>
        <w:rPr>
          <w:rFonts w:hint="default" w:ascii="Times New Roman" w:hAnsi="Times New Roman" w:eastAsia="方正小标宋简体" w:cs="Times New Roman"/>
          <w:color w:val="000000"/>
          <w:kern w:val="2"/>
          <w:sz w:val="44"/>
          <w:szCs w:val="44"/>
          <w:u w:val="none"/>
          <w:shd w:val="clear" w:color="auto" w:fill="FFFFFF"/>
          <w:lang w:val="en-US" w:eastAsia="zh-CN" w:bidi="ar-SA"/>
        </w:rPr>
        <w:t>基本信息表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14:paraId="1194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061" w:type="dxa"/>
            <w:gridSpan w:val="4"/>
            <w:vAlign w:val="center"/>
          </w:tcPr>
          <w:p w14:paraId="1291294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黑体" w:cs="Times New Roman"/>
                <w:color w:val="000000"/>
                <w:kern w:val="2"/>
                <w:sz w:val="24"/>
                <w:szCs w:val="24"/>
                <w:u w:val="none"/>
                <w:shd w:val="clear" w:color="auto" w:fill="FFFFFF"/>
                <w:vertAlign w:val="baseline"/>
                <w:lang w:val="en-US" w:eastAsia="zh-CN" w:bidi="ar-SA"/>
              </w:rPr>
              <w:t>一、工厂基本信息</w:t>
            </w:r>
          </w:p>
        </w:tc>
      </w:tr>
      <w:tr w14:paraId="176B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65" w:type="dxa"/>
            <w:vAlign w:val="center"/>
          </w:tcPr>
          <w:p w14:paraId="0CAF27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工厂名称</w:t>
            </w:r>
          </w:p>
        </w:tc>
        <w:tc>
          <w:tcPr>
            <w:tcW w:w="6796" w:type="dxa"/>
            <w:gridSpan w:val="3"/>
            <w:vAlign w:val="center"/>
          </w:tcPr>
          <w:p w14:paraId="3ED12A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6A8B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65" w:type="dxa"/>
            <w:vAlign w:val="center"/>
          </w:tcPr>
          <w:p w14:paraId="1B8187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工厂地址</w:t>
            </w:r>
          </w:p>
        </w:tc>
        <w:tc>
          <w:tcPr>
            <w:tcW w:w="6796" w:type="dxa"/>
            <w:gridSpan w:val="3"/>
            <w:vAlign w:val="center"/>
          </w:tcPr>
          <w:p w14:paraId="2F9F01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7B9D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65" w:type="dxa"/>
            <w:vAlign w:val="center"/>
          </w:tcPr>
          <w:p w14:paraId="007F09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所属行业</w:t>
            </w:r>
          </w:p>
        </w:tc>
        <w:tc>
          <w:tcPr>
            <w:tcW w:w="2265" w:type="dxa"/>
            <w:vAlign w:val="center"/>
          </w:tcPr>
          <w:p w14:paraId="4C07C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（按统计局四位代码填写）</w:t>
            </w:r>
          </w:p>
        </w:tc>
        <w:tc>
          <w:tcPr>
            <w:tcW w:w="2265" w:type="dxa"/>
            <w:vAlign w:val="center"/>
          </w:tcPr>
          <w:p w14:paraId="2395A2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主要产品</w:t>
            </w:r>
          </w:p>
        </w:tc>
        <w:tc>
          <w:tcPr>
            <w:tcW w:w="2266" w:type="dxa"/>
            <w:vAlign w:val="center"/>
          </w:tcPr>
          <w:p w14:paraId="1E258D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6DAE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265" w:type="dxa"/>
            <w:vAlign w:val="center"/>
          </w:tcPr>
          <w:p w14:paraId="1B06CA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8"/>
                <w:szCs w:val="28"/>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单位性质</w:t>
            </w:r>
          </w:p>
        </w:tc>
        <w:tc>
          <w:tcPr>
            <w:tcW w:w="6796" w:type="dxa"/>
            <w:gridSpan w:val="3"/>
            <w:vAlign w:val="center"/>
          </w:tcPr>
          <w:p w14:paraId="2D9A85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8"/>
                <w:szCs w:val="28"/>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内资（</w:t>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国有</w:t>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集体</w:t>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民营）</w:t>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中外合资</w:t>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港澳台</w:t>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外商独资</w:t>
            </w:r>
          </w:p>
        </w:tc>
      </w:tr>
      <w:tr w14:paraId="7D2B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65" w:type="dxa"/>
            <w:vAlign w:val="center"/>
          </w:tcPr>
          <w:p w14:paraId="698645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统一社会</w:t>
            </w:r>
          </w:p>
          <w:p w14:paraId="64314F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信用代码</w:t>
            </w:r>
          </w:p>
        </w:tc>
        <w:tc>
          <w:tcPr>
            <w:tcW w:w="2265" w:type="dxa"/>
            <w:vAlign w:val="center"/>
          </w:tcPr>
          <w:p w14:paraId="2D001F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c>
          <w:tcPr>
            <w:tcW w:w="2265" w:type="dxa"/>
            <w:vAlign w:val="center"/>
          </w:tcPr>
          <w:p w14:paraId="1F18D1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法定代表人</w:t>
            </w:r>
          </w:p>
        </w:tc>
        <w:tc>
          <w:tcPr>
            <w:tcW w:w="2266" w:type="dxa"/>
            <w:vAlign w:val="center"/>
          </w:tcPr>
          <w:p w14:paraId="37BA5E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72A3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25A968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申报工作</w:t>
            </w:r>
          </w:p>
          <w:p w14:paraId="50CD4B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联系部门</w:t>
            </w:r>
          </w:p>
        </w:tc>
        <w:tc>
          <w:tcPr>
            <w:tcW w:w="2265" w:type="dxa"/>
            <w:vAlign w:val="center"/>
          </w:tcPr>
          <w:p w14:paraId="37F1DF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c>
          <w:tcPr>
            <w:tcW w:w="2265" w:type="dxa"/>
            <w:vAlign w:val="center"/>
          </w:tcPr>
          <w:p w14:paraId="7981D0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联系人</w:t>
            </w:r>
          </w:p>
        </w:tc>
        <w:tc>
          <w:tcPr>
            <w:tcW w:w="2266" w:type="dxa"/>
            <w:vAlign w:val="center"/>
          </w:tcPr>
          <w:p w14:paraId="653558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7BF0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65" w:type="dxa"/>
            <w:vAlign w:val="center"/>
          </w:tcPr>
          <w:p w14:paraId="4268CC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联系电话</w:t>
            </w:r>
          </w:p>
        </w:tc>
        <w:tc>
          <w:tcPr>
            <w:tcW w:w="2265" w:type="dxa"/>
            <w:vAlign w:val="center"/>
          </w:tcPr>
          <w:p w14:paraId="6C2E8F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c>
          <w:tcPr>
            <w:tcW w:w="2265" w:type="dxa"/>
            <w:vAlign w:val="center"/>
          </w:tcPr>
          <w:p w14:paraId="0B1D24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电子邮箱</w:t>
            </w:r>
          </w:p>
        </w:tc>
        <w:tc>
          <w:tcPr>
            <w:tcW w:w="2266" w:type="dxa"/>
            <w:vAlign w:val="center"/>
          </w:tcPr>
          <w:p w14:paraId="471630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249B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61" w:type="dxa"/>
            <w:gridSpan w:val="4"/>
            <w:vAlign w:val="center"/>
          </w:tcPr>
          <w:p w14:paraId="34B5AA7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黑体" w:cs="Times New Roman"/>
                <w:color w:val="000000"/>
                <w:kern w:val="2"/>
                <w:sz w:val="24"/>
                <w:szCs w:val="24"/>
                <w:u w:val="none"/>
                <w:shd w:val="clear" w:color="auto" w:fill="FFFFFF"/>
                <w:vertAlign w:val="baseline"/>
                <w:lang w:val="en-US" w:eastAsia="zh-CN" w:bidi="ar-SA"/>
              </w:rPr>
              <w:t>二、第三方机构信息</w:t>
            </w:r>
          </w:p>
        </w:tc>
      </w:tr>
      <w:tr w14:paraId="478A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265" w:type="dxa"/>
            <w:vAlign w:val="center"/>
          </w:tcPr>
          <w:p w14:paraId="3C290D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第三方机构名称</w:t>
            </w:r>
          </w:p>
        </w:tc>
        <w:tc>
          <w:tcPr>
            <w:tcW w:w="6796" w:type="dxa"/>
            <w:gridSpan w:val="3"/>
            <w:vAlign w:val="center"/>
          </w:tcPr>
          <w:p w14:paraId="3643C1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56F2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65" w:type="dxa"/>
            <w:vAlign w:val="center"/>
          </w:tcPr>
          <w:p w14:paraId="28DE85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第三方机构地址</w:t>
            </w:r>
          </w:p>
        </w:tc>
        <w:tc>
          <w:tcPr>
            <w:tcW w:w="6796" w:type="dxa"/>
            <w:gridSpan w:val="3"/>
            <w:vAlign w:val="center"/>
          </w:tcPr>
          <w:p w14:paraId="7FDC14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1DC9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65" w:type="dxa"/>
            <w:vAlign w:val="center"/>
          </w:tcPr>
          <w:p w14:paraId="5B7D2F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机构法定代表人</w:t>
            </w:r>
          </w:p>
        </w:tc>
        <w:tc>
          <w:tcPr>
            <w:tcW w:w="2265" w:type="dxa"/>
            <w:vAlign w:val="center"/>
          </w:tcPr>
          <w:p w14:paraId="2BF4D9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c>
          <w:tcPr>
            <w:tcW w:w="2265" w:type="dxa"/>
            <w:vAlign w:val="center"/>
          </w:tcPr>
          <w:p w14:paraId="30B1AD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法定代表人电话</w:t>
            </w:r>
          </w:p>
        </w:tc>
        <w:tc>
          <w:tcPr>
            <w:tcW w:w="2266" w:type="dxa"/>
            <w:vAlign w:val="center"/>
          </w:tcPr>
          <w:p w14:paraId="20957B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4E10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265" w:type="dxa"/>
            <w:vAlign w:val="center"/>
          </w:tcPr>
          <w:p w14:paraId="5088FF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机构联系人</w:t>
            </w:r>
          </w:p>
        </w:tc>
        <w:tc>
          <w:tcPr>
            <w:tcW w:w="2265" w:type="dxa"/>
            <w:vAlign w:val="center"/>
          </w:tcPr>
          <w:p w14:paraId="44B62B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c>
          <w:tcPr>
            <w:tcW w:w="2265" w:type="dxa"/>
            <w:vAlign w:val="center"/>
          </w:tcPr>
          <w:p w14:paraId="38AD76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联系人电话</w:t>
            </w:r>
          </w:p>
        </w:tc>
        <w:tc>
          <w:tcPr>
            <w:tcW w:w="2266" w:type="dxa"/>
            <w:vAlign w:val="center"/>
          </w:tcPr>
          <w:p w14:paraId="754553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43A5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65" w:type="dxa"/>
            <w:vAlign w:val="center"/>
          </w:tcPr>
          <w:p w14:paraId="4ECF8D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报告编制负责人</w:t>
            </w:r>
          </w:p>
        </w:tc>
        <w:tc>
          <w:tcPr>
            <w:tcW w:w="2265" w:type="dxa"/>
            <w:vAlign w:val="center"/>
          </w:tcPr>
          <w:p w14:paraId="4010C4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c>
          <w:tcPr>
            <w:tcW w:w="2265" w:type="dxa"/>
            <w:vAlign w:val="center"/>
          </w:tcPr>
          <w:p w14:paraId="26344D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负责人电话</w:t>
            </w:r>
          </w:p>
        </w:tc>
        <w:tc>
          <w:tcPr>
            <w:tcW w:w="2266" w:type="dxa"/>
            <w:vAlign w:val="center"/>
          </w:tcPr>
          <w:p w14:paraId="45FA57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1DF2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61" w:type="dxa"/>
            <w:gridSpan w:val="4"/>
            <w:vAlign w:val="center"/>
          </w:tcPr>
          <w:p w14:paraId="248B327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黑体" w:cs="Times New Roman"/>
                <w:color w:val="000000"/>
                <w:kern w:val="2"/>
                <w:sz w:val="24"/>
                <w:szCs w:val="24"/>
                <w:u w:val="none"/>
                <w:shd w:val="clear" w:color="auto" w:fill="FFFFFF"/>
                <w:vertAlign w:val="baseline"/>
                <w:lang w:val="en-US" w:eastAsia="zh-CN" w:bidi="ar-SA"/>
              </w:rPr>
              <w:t>三、工厂绿色化改造项目实施情况</w:t>
            </w:r>
          </w:p>
        </w:tc>
      </w:tr>
      <w:tr w14:paraId="6588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5" w:type="dxa"/>
            <w:vAlign w:val="center"/>
          </w:tcPr>
          <w:p w14:paraId="69051E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项目名称1</w:t>
            </w:r>
          </w:p>
        </w:tc>
        <w:tc>
          <w:tcPr>
            <w:tcW w:w="6796" w:type="dxa"/>
            <w:gridSpan w:val="3"/>
            <w:vAlign w:val="center"/>
          </w:tcPr>
          <w:p w14:paraId="174F90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165C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5" w:type="dxa"/>
            <w:vAlign w:val="center"/>
          </w:tcPr>
          <w:p w14:paraId="00515E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项目主要建设内容</w:t>
            </w:r>
          </w:p>
        </w:tc>
        <w:tc>
          <w:tcPr>
            <w:tcW w:w="6796" w:type="dxa"/>
            <w:gridSpan w:val="3"/>
            <w:vAlign w:val="center"/>
          </w:tcPr>
          <w:p w14:paraId="78A763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3797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5" w:type="dxa"/>
            <w:vAlign w:val="center"/>
          </w:tcPr>
          <w:p w14:paraId="5CEF03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项目状态</w:t>
            </w:r>
          </w:p>
        </w:tc>
        <w:tc>
          <w:tcPr>
            <w:tcW w:w="6796" w:type="dxa"/>
            <w:gridSpan w:val="3"/>
            <w:vAlign w:val="center"/>
          </w:tcPr>
          <w:p w14:paraId="756DFE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 xml:space="preserve">已完成  </w:t>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 xml:space="preserve">已开工  </w:t>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计划实施</w:t>
            </w:r>
          </w:p>
        </w:tc>
      </w:tr>
      <w:tr w14:paraId="75C2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5" w:type="dxa"/>
            <w:vAlign w:val="center"/>
          </w:tcPr>
          <w:p w14:paraId="143B0C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开工（计划开工）</w:t>
            </w:r>
          </w:p>
          <w:p w14:paraId="69CF1D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时间</w:t>
            </w:r>
          </w:p>
        </w:tc>
        <w:tc>
          <w:tcPr>
            <w:tcW w:w="2265" w:type="dxa"/>
            <w:vAlign w:val="center"/>
          </w:tcPr>
          <w:p w14:paraId="72371B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c>
          <w:tcPr>
            <w:tcW w:w="2265" w:type="dxa"/>
            <w:vAlign w:val="center"/>
          </w:tcPr>
          <w:p w14:paraId="100A02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竣工（计划竣工）</w:t>
            </w:r>
          </w:p>
          <w:p w14:paraId="4D2E26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时间</w:t>
            </w:r>
          </w:p>
        </w:tc>
        <w:tc>
          <w:tcPr>
            <w:tcW w:w="2266" w:type="dxa"/>
            <w:vAlign w:val="center"/>
          </w:tcPr>
          <w:p w14:paraId="6F8268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4826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5" w:type="dxa"/>
            <w:vAlign w:val="center"/>
          </w:tcPr>
          <w:p w14:paraId="5D8483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项目名称2</w:t>
            </w:r>
          </w:p>
        </w:tc>
        <w:tc>
          <w:tcPr>
            <w:tcW w:w="6796" w:type="dxa"/>
            <w:gridSpan w:val="3"/>
            <w:vAlign w:val="center"/>
          </w:tcPr>
          <w:p w14:paraId="008496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（多个项目可另加行）</w:t>
            </w:r>
          </w:p>
        </w:tc>
      </w:tr>
      <w:tr w14:paraId="7203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5" w:type="dxa"/>
            <w:vAlign w:val="center"/>
          </w:tcPr>
          <w:p w14:paraId="141DDE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w:t>
            </w:r>
          </w:p>
        </w:tc>
        <w:tc>
          <w:tcPr>
            <w:tcW w:w="6796" w:type="dxa"/>
            <w:gridSpan w:val="3"/>
            <w:vAlign w:val="center"/>
          </w:tcPr>
          <w:p w14:paraId="16CAE9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7E84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061" w:type="dxa"/>
            <w:gridSpan w:val="4"/>
            <w:vAlign w:val="center"/>
          </w:tcPr>
          <w:p w14:paraId="170E238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黑体" w:cs="Times New Roman"/>
                <w:color w:val="000000"/>
                <w:kern w:val="2"/>
                <w:sz w:val="24"/>
                <w:szCs w:val="24"/>
                <w:u w:val="none"/>
                <w:shd w:val="clear" w:color="auto" w:fill="FFFFFF"/>
                <w:vertAlign w:val="baseline"/>
                <w:lang w:val="en-US" w:eastAsia="zh-CN" w:bidi="ar-SA"/>
              </w:rPr>
              <w:t>四、绿色工厂评价结果</w:t>
            </w:r>
          </w:p>
        </w:tc>
      </w:tr>
      <w:tr w14:paraId="6295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5" w:type="dxa"/>
            <w:vAlign w:val="center"/>
          </w:tcPr>
          <w:p w14:paraId="1A9E1D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基本要求</w:t>
            </w:r>
          </w:p>
        </w:tc>
        <w:tc>
          <w:tcPr>
            <w:tcW w:w="2265" w:type="dxa"/>
            <w:vAlign w:val="center"/>
          </w:tcPr>
          <w:p w14:paraId="12B927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 xml:space="preserve">符合 </w:t>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不符合</w:t>
            </w:r>
          </w:p>
        </w:tc>
        <w:tc>
          <w:tcPr>
            <w:tcW w:w="2265" w:type="dxa"/>
            <w:vAlign w:val="center"/>
          </w:tcPr>
          <w:p w14:paraId="3F9535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指标得分</w:t>
            </w:r>
          </w:p>
        </w:tc>
        <w:tc>
          <w:tcPr>
            <w:tcW w:w="2266" w:type="dxa"/>
            <w:vAlign w:val="center"/>
          </w:tcPr>
          <w:p w14:paraId="40F71D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tc>
      </w:tr>
      <w:tr w14:paraId="1E61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5" w:type="dxa"/>
            <w:vAlign w:val="center"/>
          </w:tcPr>
          <w:p w14:paraId="593F0E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受评价方主要亮点</w:t>
            </w:r>
          </w:p>
        </w:tc>
        <w:tc>
          <w:tcPr>
            <w:tcW w:w="6796" w:type="dxa"/>
            <w:gridSpan w:val="3"/>
            <w:vAlign w:val="center"/>
          </w:tcPr>
          <w:p w14:paraId="0B1E20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（请在200字以内概述受评价方主要亮点）</w:t>
            </w:r>
          </w:p>
        </w:tc>
      </w:tr>
      <w:tr w14:paraId="7641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9061" w:type="dxa"/>
            <w:gridSpan w:val="4"/>
            <w:vAlign w:val="top"/>
          </w:tcPr>
          <w:p w14:paraId="2413EF4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p w14:paraId="1AA455A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14:paraId="6BF8BFD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p w14:paraId="72D9A4C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p w14:paraId="36A921F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p w14:paraId="599A366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p>
          <w:p w14:paraId="707BA36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 xml:space="preserve">                                         法人代表签字：</w:t>
            </w:r>
          </w:p>
          <w:p w14:paraId="22B29DD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 xml:space="preserve">                                              （单位盖章）</w:t>
            </w:r>
          </w:p>
        </w:tc>
      </w:tr>
    </w:tbl>
    <w:p w14:paraId="713D17DD">
      <w:pPr>
        <w:spacing w:line="600" w:lineRule="exact"/>
        <w:ind w:firstLine="640" w:firstLineChars="200"/>
        <w:rPr>
          <w:rFonts w:hint="default" w:ascii="Times New Roman" w:hAnsi="Times New Roman" w:eastAsia="仿宋_GB2312" w:cs="Times New Roman"/>
          <w:color w:val="000000"/>
          <w:sz w:val="32"/>
          <w:szCs w:val="32"/>
          <w:u w:val="none"/>
          <w:shd w:val="clear" w:color="auto" w:fill="FFFFFF"/>
          <w:lang w:val="en-US" w:eastAsia="zh-CN"/>
        </w:rPr>
      </w:pPr>
      <w:r>
        <w:rPr>
          <w:rFonts w:hint="default" w:ascii="Times New Roman" w:hAnsi="Times New Roman" w:eastAsia="仿宋_GB2312" w:cs="Times New Roman"/>
          <w:color w:val="000000"/>
          <w:sz w:val="32"/>
          <w:szCs w:val="32"/>
          <w:u w:val="none"/>
          <w:shd w:val="clear" w:color="auto" w:fill="FFFFFF"/>
          <w:lang w:val="en-US" w:eastAsia="zh-CN"/>
        </w:rPr>
        <w:br w:type="page"/>
      </w:r>
    </w:p>
    <w:p w14:paraId="1358312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小标宋简体" w:cs="Times New Roman"/>
          <w:color w:val="000000"/>
          <w:kern w:val="2"/>
          <w:sz w:val="44"/>
          <w:szCs w:val="44"/>
          <w:u w:val="none"/>
          <w:shd w:val="clear" w:color="auto" w:fill="FFFFFF"/>
          <w:lang w:val="en-US" w:eastAsia="zh-CN" w:bidi="ar-SA"/>
        </w:rPr>
      </w:pPr>
      <w:r>
        <w:rPr>
          <w:rFonts w:hint="default" w:ascii="Times New Roman" w:hAnsi="Times New Roman" w:eastAsia="方正小标宋简体" w:cs="Times New Roman"/>
          <w:color w:val="000000"/>
          <w:kern w:val="2"/>
          <w:sz w:val="44"/>
          <w:szCs w:val="44"/>
          <w:u w:val="none"/>
          <w:shd w:val="clear" w:color="auto" w:fill="FFFFFF"/>
          <w:lang w:val="en-US" w:eastAsia="zh-CN" w:bidi="ar-SA"/>
        </w:rPr>
        <w:t>绿色工厂评价报告（格式）</w:t>
      </w:r>
    </w:p>
    <w:p w14:paraId="6D5B778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color w:val="000000"/>
          <w:kern w:val="2"/>
          <w:sz w:val="32"/>
          <w:szCs w:val="32"/>
          <w:u w:val="none"/>
          <w:shd w:val="clear" w:color="auto" w:fill="FFFFFF"/>
          <w:lang w:val="en-US" w:eastAsia="zh-CN" w:bidi="ar-SA"/>
        </w:rPr>
      </w:pPr>
    </w:p>
    <w:p w14:paraId="66DA7F6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color w:val="000000"/>
          <w:kern w:val="2"/>
          <w:sz w:val="32"/>
          <w:szCs w:val="32"/>
          <w:u w:val="none"/>
          <w:shd w:val="clear" w:color="auto" w:fill="FFFFFF"/>
          <w:lang w:val="en-US" w:eastAsia="zh-CN" w:bidi="ar-SA"/>
        </w:rPr>
      </w:pPr>
      <w:r>
        <w:rPr>
          <w:rFonts w:hint="default" w:ascii="Times New Roman" w:hAnsi="Times New Roman" w:eastAsia="黑体" w:cs="Times New Roman"/>
          <w:color w:val="000000"/>
          <w:kern w:val="2"/>
          <w:sz w:val="32"/>
          <w:szCs w:val="32"/>
          <w:u w:val="none"/>
          <w:shd w:val="clear" w:color="auto" w:fill="FFFFFF"/>
          <w:lang w:val="en-US" w:eastAsia="zh-CN" w:bidi="ar-SA"/>
        </w:rPr>
        <w:t>一、概述</w:t>
      </w:r>
    </w:p>
    <w:p w14:paraId="1A41B330">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color w:val="000000"/>
          <w:kern w:val="2"/>
          <w:sz w:val="32"/>
          <w:szCs w:val="32"/>
          <w:u w:val="none"/>
          <w:shd w:val="clear" w:color="auto" w:fill="FFFFFF"/>
          <w:lang w:val="en-US" w:eastAsia="zh-CN" w:bidi="ar-SA"/>
        </w:rPr>
      </w:pPr>
      <w:r>
        <w:rPr>
          <w:rFonts w:hint="default" w:ascii="Times New Roman" w:hAnsi="Times New Roman" w:eastAsia="仿宋_GB2312" w:cs="Times New Roman"/>
          <w:color w:val="000000"/>
          <w:kern w:val="2"/>
          <w:sz w:val="32"/>
          <w:szCs w:val="32"/>
          <w:u w:val="none"/>
          <w:shd w:val="clear" w:color="auto" w:fill="FFFFFF"/>
          <w:lang w:val="en-US" w:eastAsia="zh-CN" w:bidi="ar-SA"/>
        </w:rPr>
        <w:t>主要介绍绿色工厂评价的目的、范围及准则，受评价方的基本情况（基本信息、发展现状、工艺产品、生产经营状况以及在绿色发展方面开展的重点工作及取得的成绩）等。</w:t>
      </w:r>
    </w:p>
    <w:p w14:paraId="2085A656">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color w:val="000000"/>
          <w:kern w:val="2"/>
          <w:sz w:val="32"/>
          <w:szCs w:val="32"/>
          <w:u w:val="none"/>
          <w:shd w:val="clear" w:color="auto" w:fill="FFFFFF"/>
          <w:lang w:val="en-US" w:eastAsia="zh-CN" w:bidi="ar-SA"/>
        </w:rPr>
      </w:pPr>
      <w:r>
        <w:rPr>
          <w:rFonts w:hint="default" w:ascii="Times New Roman" w:hAnsi="Times New Roman" w:eastAsia="黑体" w:cs="Times New Roman"/>
          <w:color w:val="000000"/>
          <w:kern w:val="2"/>
          <w:sz w:val="32"/>
          <w:szCs w:val="32"/>
          <w:u w:val="none"/>
          <w:shd w:val="clear" w:color="auto" w:fill="FFFFFF"/>
          <w:lang w:val="en-US" w:eastAsia="zh-CN" w:bidi="ar-SA"/>
        </w:rPr>
        <w:t>二、评价过程和方法</w:t>
      </w:r>
    </w:p>
    <w:p w14:paraId="4C648C3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color w:val="000000"/>
          <w:kern w:val="2"/>
          <w:sz w:val="32"/>
          <w:szCs w:val="32"/>
          <w:u w:val="none"/>
          <w:shd w:val="clear" w:color="auto" w:fill="FFFFFF"/>
          <w:lang w:val="en-US" w:eastAsia="zh-CN" w:bidi="ar-SA"/>
        </w:rPr>
      </w:pPr>
      <w:r>
        <w:rPr>
          <w:rFonts w:hint="default" w:ascii="Times New Roman" w:hAnsi="Times New Roman" w:eastAsia="仿宋_GB2312" w:cs="Times New Roman"/>
          <w:color w:val="000000"/>
          <w:kern w:val="2"/>
          <w:sz w:val="32"/>
          <w:szCs w:val="32"/>
          <w:u w:val="none"/>
          <w:shd w:val="clear" w:color="auto" w:fill="FFFFFF"/>
          <w:lang w:val="en-US" w:eastAsia="zh-CN" w:bidi="ar-SA"/>
        </w:rPr>
        <w:t>主要介绍评价组织安排、文件评审情况、现场评价情况、评价报告编写及内部技术复核情况。</w:t>
      </w:r>
    </w:p>
    <w:p w14:paraId="1594BAFA">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color w:val="000000"/>
          <w:kern w:val="2"/>
          <w:sz w:val="32"/>
          <w:szCs w:val="32"/>
          <w:u w:val="none"/>
          <w:shd w:val="clear" w:color="auto" w:fill="FFFFFF"/>
          <w:lang w:val="en-US" w:eastAsia="zh-CN" w:bidi="ar-SA"/>
        </w:rPr>
      </w:pPr>
      <w:r>
        <w:rPr>
          <w:rFonts w:hint="default" w:ascii="Times New Roman" w:hAnsi="Times New Roman" w:eastAsia="黑体" w:cs="Times New Roman"/>
          <w:color w:val="000000"/>
          <w:kern w:val="2"/>
          <w:sz w:val="32"/>
          <w:szCs w:val="32"/>
          <w:u w:val="none"/>
          <w:shd w:val="clear" w:color="auto" w:fill="FFFFFF"/>
          <w:lang w:val="en-US" w:eastAsia="zh-CN" w:bidi="ar-SA"/>
        </w:rPr>
        <w:t>三、评价内容</w:t>
      </w:r>
    </w:p>
    <w:p w14:paraId="1EBD7C5E">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color w:val="000000"/>
          <w:kern w:val="2"/>
          <w:sz w:val="32"/>
          <w:szCs w:val="32"/>
          <w:u w:val="none"/>
          <w:shd w:val="clear" w:color="auto" w:fill="FFFFFF"/>
          <w:lang w:val="en-US" w:eastAsia="zh-CN" w:bidi="ar-SA"/>
        </w:rPr>
      </w:pPr>
      <w:r>
        <w:rPr>
          <w:rFonts w:hint="default" w:ascii="Times New Roman" w:hAnsi="Times New Roman" w:eastAsia="仿宋_GB2312" w:cs="Times New Roman"/>
          <w:color w:val="000000"/>
          <w:kern w:val="2"/>
          <w:sz w:val="32"/>
          <w:szCs w:val="32"/>
          <w:u w:val="none"/>
          <w:shd w:val="clear" w:color="auto" w:fill="FFFFFF"/>
          <w:lang w:val="en-US" w:eastAsia="zh-CN" w:bidi="ar-SA"/>
        </w:rPr>
        <w:t>第三方机构应按以下内容对工厂进行评价：</w:t>
      </w:r>
    </w:p>
    <w:p w14:paraId="72F943A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color w:val="000000"/>
          <w:kern w:val="2"/>
          <w:sz w:val="32"/>
          <w:szCs w:val="32"/>
          <w:u w:val="none"/>
          <w:shd w:val="clear" w:color="auto" w:fill="FFFFFF"/>
          <w:lang w:val="en-US" w:eastAsia="zh-CN" w:bidi="ar-SA"/>
        </w:rPr>
      </w:pPr>
      <w:r>
        <w:rPr>
          <w:rFonts w:hint="default" w:ascii="Times New Roman" w:hAnsi="Times New Roman" w:eastAsia="仿宋_GB2312" w:cs="Times New Roman"/>
          <w:color w:val="000000"/>
          <w:kern w:val="2"/>
          <w:sz w:val="32"/>
          <w:szCs w:val="32"/>
          <w:u w:val="none"/>
          <w:shd w:val="clear" w:color="auto" w:fill="FFFFFF"/>
          <w:lang w:val="en-US" w:eastAsia="zh-CN" w:bidi="ar-SA"/>
        </w:rPr>
        <w:t>1.对工厂是否存在《芜湖市绿色工厂培育及管理暂行办法》中所列否决条件的评价情况；</w:t>
      </w:r>
    </w:p>
    <w:p w14:paraId="7A307B3F">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color w:val="000000"/>
          <w:kern w:val="2"/>
          <w:sz w:val="32"/>
          <w:szCs w:val="32"/>
          <w:u w:val="none"/>
          <w:shd w:val="clear" w:color="auto" w:fill="FFFFFF"/>
          <w:lang w:val="en-US" w:eastAsia="zh-CN" w:bidi="ar-SA"/>
        </w:rPr>
      </w:pPr>
      <w:r>
        <w:rPr>
          <w:rFonts w:hint="default" w:ascii="Times New Roman" w:hAnsi="Times New Roman" w:eastAsia="仿宋_GB2312" w:cs="Times New Roman"/>
          <w:color w:val="000000"/>
          <w:kern w:val="2"/>
          <w:sz w:val="32"/>
          <w:szCs w:val="32"/>
          <w:u w:val="none"/>
          <w:shd w:val="clear" w:color="auto" w:fill="FFFFFF"/>
          <w:lang w:val="en-US" w:eastAsia="zh-CN" w:bidi="ar-SA"/>
        </w:rPr>
        <w:t>2.对工厂是否符合评价标准中基本要求的评价情况；</w:t>
      </w:r>
    </w:p>
    <w:p w14:paraId="4AC64D4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color w:val="auto"/>
          <w:kern w:val="2"/>
          <w:sz w:val="32"/>
          <w:szCs w:val="32"/>
          <w:u w:val="none"/>
          <w:shd w:val="clear" w:color="auto" w:fill="FFFFFF"/>
          <w:lang w:val="en-US" w:eastAsia="zh-CN" w:bidi="ar-SA"/>
        </w:rPr>
      </w:pPr>
      <w:r>
        <w:rPr>
          <w:rFonts w:hint="default" w:ascii="Times New Roman" w:hAnsi="Times New Roman" w:eastAsia="仿宋_GB2312" w:cs="Times New Roman"/>
          <w:color w:val="auto"/>
          <w:kern w:val="2"/>
          <w:sz w:val="32"/>
          <w:szCs w:val="32"/>
          <w:u w:val="none"/>
          <w:shd w:val="clear" w:color="auto" w:fill="FFFFFF"/>
          <w:lang w:val="en-US" w:eastAsia="zh-CN" w:bidi="ar-SA"/>
        </w:rPr>
        <w:t>3.对工厂能源低碳化、资源高效化、生产洁净化、产品绿色化、用地集约化等方面内容的评价情况。</w:t>
      </w:r>
    </w:p>
    <w:p w14:paraId="521B5074">
      <w:pPr>
        <w:keepNext w:val="0"/>
        <w:keepLines w:val="0"/>
        <w:pageBreakBefore w:val="0"/>
        <w:widowControl w:val="0"/>
        <w:kinsoku/>
        <w:wordWrap/>
        <w:overflowPunct/>
        <w:topLinePunct w:val="0"/>
        <w:autoSpaceDE/>
        <w:autoSpaceDN/>
        <w:bidi w:val="0"/>
        <w:adjustRightInd/>
        <w:snapToGrid/>
        <w:spacing w:line="240" w:lineRule="auto"/>
        <w:ind w:left="640" w:leftChars="200" w:firstLine="0" w:firstLineChars="0"/>
        <w:jc w:val="both"/>
        <w:textAlignment w:val="auto"/>
        <w:rPr>
          <w:rFonts w:hint="default" w:ascii="Times New Roman" w:hAnsi="Times New Roman" w:eastAsia="黑体" w:cs="Times New Roman"/>
          <w:color w:val="000000"/>
          <w:kern w:val="2"/>
          <w:sz w:val="32"/>
          <w:szCs w:val="32"/>
          <w:u w:val="none"/>
          <w:shd w:val="clear" w:color="auto" w:fill="FFFFFF"/>
          <w:lang w:val="en-US" w:eastAsia="zh-CN" w:bidi="ar-SA"/>
        </w:rPr>
      </w:pPr>
      <w:r>
        <w:rPr>
          <w:rFonts w:hint="default" w:ascii="Times New Roman" w:hAnsi="Times New Roman" w:eastAsia="黑体" w:cs="Times New Roman"/>
          <w:color w:val="000000"/>
          <w:kern w:val="2"/>
          <w:sz w:val="32"/>
          <w:szCs w:val="32"/>
          <w:u w:val="none"/>
          <w:shd w:val="clear" w:color="auto" w:fill="FFFFFF"/>
          <w:lang w:val="en-US" w:eastAsia="zh-CN" w:bidi="ar-SA"/>
        </w:rPr>
        <w:t>四、评价结论</w:t>
      </w:r>
    </w:p>
    <w:p w14:paraId="2062ACD6">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color w:val="000000"/>
          <w:kern w:val="2"/>
          <w:sz w:val="32"/>
          <w:szCs w:val="32"/>
          <w:u w:val="none"/>
          <w:shd w:val="clear" w:color="auto" w:fill="FFFFFF"/>
          <w:lang w:val="en-US" w:eastAsia="zh-CN" w:bidi="ar-SA"/>
        </w:rPr>
      </w:pPr>
      <w:r>
        <w:rPr>
          <w:rFonts w:hint="default" w:ascii="Times New Roman" w:hAnsi="Times New Roman" w:eastAsia="仿宋_GB2312" w:cs="Times New Roman"/>
          <w:color w:val="000000"/>
          <w:kern w:val="2"/>
          <w:sz w:val="32"/>
          <w:szCs w:val="32"/>
          <w:u w:val="none"/>
          <w:shd w:val="clear" w:color="auto" w:fill="FFFFFF"/>
          <w:lang w:val="en-US" w:eastAsia="zh-CN" w:bidi="ar-SA"/>
        </w:rPr>
        <w:t>对工厂是否符合绿色工厂要求进行总体评价，给出评价得分，描述主要创建做法、工作亮点和仍存在的问题等。</w:t>
      </w:r>
    </w:p>
    <w:p w14:paraId="5A5DD83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color w:val="000000"/>
          <w:kern w:val="2"/>
          <w:sz w:val="32"/>
          <w:szCs w:val="32"/>
          <w:u w:val="none"/>
          <w:shd w:val="clear" w:color="auto" w:fill="FFFFFF"/>
          <w:lang w:val="en-US" w:eastAsia="zh-CN" w:bidi="ar-SA"/>
        </w:rPr>
      </w:pPr>
      <w:r>
        <w:rPr>
          <w:rFonts w:hint="default" w:ascii="Times New Roman" w:hAnsi="Times New Roman" w:eastAsia="黑体" w:cs="Times New Roman"/>
          <w:color w:val="000000"/>
          <w:kern w:val="2"/>
          <w:sz w:val="32"/>
          <w:szCs w:val="32"/>
          <w:u w:val="none"/>
          <w:shd w:val="clear" w:color="auto" w:fill="FFFFFF"/>
          <w:lang w:val="en-US" w:eastAsia="zh-CN" w:bidi="ar-SA"/>
        </w:rPr>
        <w:t>五、建议</w:t>
      </w:r>
    </w:p>
    <w:p w14:paraId="1FBE8829">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color w:val="000000"/>
          <w:kern w:val="2"/>
          <w:sz w:val="32"/>
          <w:szCs w:val="32"/>
          <w:u w:val="none"/>
          <w:shd w:val="clear" w:color="auto" w:fill="FFFFFF"/>
          <w:lang w:val="en-US" w:eastAsia="zh-CN" w:bidi="ar-SA"/>
        </w:rPr>
      </w:pPr>
      <w:r>
        <w:rPr>
          <w:rFonts w:hint="default" w:ascii="Times New Roman" w:hAnsi="Times New Roman" w:eastAsia="仿宋_GB2312" w:cs="Times New Roman"/>
          <w:color w:val="000000"/>
          <w:kern w:val="2"/>
          <w:sz w:val="32"/>
          <w:szCs w:val="32"/>
          <w:u w:val="none"/>
          <w:shd w:val="clear" w:color="auto" w:fill="FFFFFF"/>
          <w:lang w:val="en-US" w:eastAsia="zh-CN" w:bidi="ar-SA"/>
        </w:rPr>
        <w:t>对工厂持续创建绿色工厂的下一步工作提出建议。</w:t>
      </w:r>
    </w:p>
    <w:p w14:paraId="14AD060D">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color w:val="000000"/>
          <w:kern w:val="2"/>
          <w:sz w:val="32"/>
          <w:szCs w:val="32"/>
          <w:u w:val="none"/>
          <w:shd w:val="clear" w:color="auto" w:fill="FFFFFF"/>
          <w:lang w:val="en-US" w:eastAsia="zh-CN" w:bidi="ar-SA"/>
        </w:rPr>
      </w:pPr>
      <w:r>
        <w:rPr>
          <w:rFonts w:hint="default" w:ascii="Times New Roman" w:hAnsi="Times New Roman" w:eastAsia="黑体" w:cs="Times New Roman"/>
          <w:color w:val="000000"/>
          <w:kern w:val="2"/>
          <w:sz w:val="32"/>
          <w:szCs w:val="32"/>
          <w:u w:val="none"/>
          <w:shd w:val="clear" w:color="auto" w:fill="FFFFFF"/>
          <w:lang w:val="en-US" w:eastAsia="zh-CN" w:bidi="ar-SA"/>
        </w:rPr>
        <w:t>六、参考文件</w:t>
      </w:r>
    </w:p>
    <w:p w14:paraId="2A4AF57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color w:val="auto"/>
          <w:kern w:val="2"/>
          <w:sz w:val="32"/>
          <w:szCs w:val="32"/>
          <w:u w:val="none"/>
          <w:shd w:val="clear" w:color="auto" w:fill="FFFFFF"/>
          <w:lang w:val="en-US" w:eastAsia="zh-CN" w:bidi="ar-SA"/>
        </w:rPr>
      </w:pPr>
      <w:r>
        <w:rPr>
          <w:rFonts w:hint="default" w:ascii="Times New Roman" w:hAnsi="Times New Roman" w:eastAsia="仿宋_GB2312" w:cs="Times New Roman"/>
          <w:color w:val="000000"/>
          <w:kern w:val="2"/>
          <w:sz w:val="32"/>
          <w:szCs w:val="32"/>
          <w:u w:val="none"/>
          <w:shd w:val="clear" w:color="auto" w:fill="FFFFFF"/>
          <w:lang w:val="en-US" w:eastAsia="zh-CN" w:bidi="ar-SA"/>
        </w:rPr>
        <w:t>列出报告编写过程中所使用的相关参考文件</w:t>
      </w:r>
      <w:r>
        <w:rPr>
          <w:rFonts w:hint="default" w:ascii="Times New Roman" w:hAnsi="Times New Roman" w:eastAsia="仿宋_GB2312" w:cs="Times New Roman"/>
          <w:color w:val="auto"/>
          <w:kern w:val="2"/>
          <w:sz w:val="32"/>
          <w:szCs w:val="32"/>
          <w:u w:val="none"/>
          <w:shd w:val="clear" w:color="auto" w:fill="FFFFFF"/>
          <w:lang w:val="en-US" w:eastAsia="zh-CN" w:bidi="ar-SA"/>
        </w:rPr>
        <w:t>（与附表1及附表2的证明材料索引一栏对应）。</w:t>
      </w:r>
    </w:p>
    <w:p w14:paraId="17CA0556">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color w:val="000000"/>
          <w:kern w:val="2"/>
          <w:sz w:val="32"/>
          <w:szCs w:val="32"/>
          <w:u w:val="none"/>
          <w:shd w:val="clear" w:color="auto" w:fill="FFFFFF"/>
          <w:lang w:val="en-US" w:eastAsia="zh-CN" w:bidi="ar-SA"/>
        </w:rPr>
      </w:pPr>
      <w:r>
        <w:rPr>
          <w:rFonts w:hint="default" w:ascii="Times New Roman" w:hAnsi="Times New Roman" w:eastAsia="黑体" w:cs="Times New Roman"/>
          <w:color w:val="000000"/>
          <w:kern w:val="2"/>
          <w:sz w:val="32"/>
          <w:szCs w:val="32"/>
          <w:u w:val="none"/>
          <w:shd w:val="clear" w:color="auto" w:fill="FFFFFF"/>
          <w:lang w:val="en-US" w:eastAsia="zh-CN" w:bidi="ar-SA"/>
        </w:rPr>
        <w:t>七、第三方机构资质符合性证明材料</w:t>
      </w:r>
    </w:p>
    <w:p w14:paraId="154ABF6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color w:val="000000"/>
          <w:kern w:val="2"/>
          <w:sz w:val="32"/>
          <w:szCs w:val="32"/>
          <w:u w:val="none"/>
          <w:shd w:val="clear" w:color="auto" w:fill="FFFFFF"/>
          <w:lang w:val="en-US" w:eastAsia="zh-CN" w:bidi="ar-SA"/>
        </w:rPr>
      </w:pPr>
      <w:r>
        <w:rPr>
          <w:rFonts w:hint="default" w:ascii="Times New Roman" w:hAnsi="Times New Roman" w:eastAsia="仿宋_GB2312" w:cs="Times New Roman"/>
          <w:color w:val="000000"/>
          <w:kern w:val="2"/>
          <w:sz w:val="32"/>
          <w:szCs w:val="32"/>
          <w:u w:val="none"/>
          <w:shd w:val="clear" w:color="auto" w:fill="FFFFFF"/>
          <w:lang w:val="en-US" w:eastAsia="zh-CN" w:bidi="ar-SA"/>
        </w:rPr>
        <w:t>列出第三方机构满足条件的资质符合性证明材料。</w:t>
      </w:r>
    </w:p>
    <w:p w14:paraId="2DFEF1CA">
      <w:pPr>
        <w:rPr>
          <w:rFonts w:hint="default" w:ascii="Times New Roman" w:hAnsi="Times New Roman" w:cs="Times New Roman"/>
          <w:color w:val="000000"/>
          <w:sz w:val="32"/>
          <w:szCs w:val="32"/>
          <w:u w:val="none"/>
          <w:shd w:val="clear" w:color="auto" w:fill="FFFFFF"/>
          <w:lang w:val="en-US" w:eastAsia="zh-CN"/>
        </w:rPr>
      </w:pPr>
    </w:p>
    <w:p w14:paraId="4431856C">
      <w:pPr>
        <w:pStyle w:val="2"/>
        <w:rPr>
          <w:rFonts w:hint="default" w:ascii="Times New Roman" w:hAnsi="Times New Roman" w:cs="Times New Roman"/>
          <w:color w:val="000000"/>
          <w:sz w:val="32"/>
          <w:szCs w:val="32"/>
          <w:u w:val="none"/>
          <w:shd w:val="clear" w:color="auto" w:fill="FFFFFF"/>
          <w:lang w:val="en-US" w:eastAsia="zh-CN"/>
        </w:rPr>
      </w:pPr>
    </w:p>
    <w:p w14:paraId="09C2C615">
      <w:pPr>
        <w:pStyle w:val="2"/>
        <w:rPr>
          <w:rFonts w:hint="default" w:ascii="Times New Roman" w:hAnsi="Times New Roman" w:cs="Times New Roman"/>
          <w:color w:val="000000"/>
          <w:sz w:val="32"/>
          <w:szCs w:val="32"/>
          <w:u w:val="none"/>
          <w:shd w:val="clear" w:color="auto" w:fill="FFFFFF"/>
          <w:lang w:val="en-US" w:eastAsia="zh-CN"/>
        </w:rPr>
      </w:pPr>
    </w:p>
    <w:p w14:paraId="2D8A59A2">
      <w:pPr>
        <w:pStyle w:val="2"/>
        <w:rPr>
          <w:rFonts w:hint="default" w:ascii="Times New Roman" w:hAnsi="Times New Roman" w:cs="Times New Roman"/>
          <w:color w:val="000000"/>
          <w:sz w:val="32"/>
          <w:szCs w:val="32"/>
          <w:u w:val="none"/>
          <w:shd w:val="clear" w:color="auto" w:fill="FFFFFF"/>
          <w:lang w:val="en-US" w:eastAsia="zh-CN"/>
        </w:rPr>
      </w:pPr>
    </w:p>
    <w:p w14:paraId="717C8590">
      <w:pPr>
        <w:pStyle w:val="2"/>
        <w:rPr>
          <w:rFonts w:hint="default" w:ascii="Times New Roman" w:hAnsi="Times New Roman" w:cs="Times New Roman"/>
          <w:color w:val="000000"/>
          <w:sz w:val="32"/>
          <w:szCs w:val="32"/>
          <w:u w:val="none"/>
          <w:shd w:val="clear" w:color="auto" w:fill="FFFFFF"/>
          <w:lang w:val="en-US" w:eastAsia="zh-CN"/>
        </w:rPr>
      </w:pPr>
    </w:p>
    <w:p w14:paraId="03C4BD84">
      <w:pPr>
        <w:pStyle w:val="2"/>
        <w:rPr>
          <w:rFonts w:hint="default" w:ascii="Times New Roman" w:hAnsi="Times New Roman" w:cs="Times New Roman"/>
          <w:color w:val="000000"/>
          <w:sz w:val="32"/>
          <w:szCs w:val="32"/>
          <w:u w:val="none"/>
          <w:shd w:val="clear" w:color="auto" w:fill="FFFFFF"/>
          <w:lang w:val="en-US" w:eastAsia="zh-CN"/>
        </w:rPr>
      </w:pPr>
    </w:p>
    <w:p w14:paraId="5C0EDB69">
      <w:pPr>
        <w:pStyle w:val="2"/>
        <w:rPr>
          <w:rFonts w:hint="default" w:ascii="Times New Roman" w:hAnsi="Times New Roman" w:cs="Times New Roman"/>
          <w:color w:val="000000"/>
          <w:sz w:val="32"/>
          <w:szCs w:val="32"/>
          <w:u w:val="none"/>
          <w:shd w:val="clear" w:color="auto" w:fill="FFFFFF"/>
          <w:lang w:val="en-US" w:eastAsia="zh-CN"/>
        </w:rPr>
      </w:pPr>
    </w:p>
    <w:p w14:paraId="60C32856">
      <w:pPr>
        <w:pStyle w:val="2"/>
        <w:rPr>
          <w:rFonts w:hint="default" w:ascii="Times New Roman" w:hAnsi="Times New Roman" w:cs="Times New Roman"/>
          <w:color w:val="000000"/>
          <w:sz w:val="32"/>
          <w:szCs w:val="32"/>
          <w:u w:val="none"/>
          <w:shd w:val="clear" w:color="auto" w:fill="FFFFFF"/>
          <w:lang w:val="en-US" w:eastAsia="zh-CN"/>
        </w:rPr>
      </w:pPr>
    </w:p>
    <w:p w14:paraId="6ED1AC42">
      <w:pPr>
        <w:pStyle w:val="2"/>
        <w:rPr>
          <w:rFonts w:hint="default" w:ascii="Times New Roman" w:hAnsi="Times New Roman" w:cs="Times New Roman"/>
          <w:color w:val="000000"/>
          <w:sz w:val="32"/>
          <w:szCs w:val="32"/>
          <w:u w:val="none"/>
          <w:shd w:val="clear" w:color="auto" w:fill="FFFFFF"/>
          <w:lang w:val="en-US" w:eastAsia="zh-CN"/>
        </w:rPr>
      </w:pPr>
    </w:p>
    <w:p w14:paraId="6C9EB3D6">
      <w:pPr>
        <w:pStyle w:val="2"/>
        <w:rPr>
          <w:rFonts w:hint="default" w:ascii="Times New Roman" w:hAnsi="Times New Roman" w:cs="Times New Roman"/>
          <w:color w:val="000000"/>
          <w:sz w:val="32"/>
          <w:szCs w:val="32"/>
          <w:u w:val="none"/>
          <w:shd w:val="clear" w:color="auto" w:fill="FFFFFF"/>
          <w:lang w:val="en-US" w:eastAsia="zh-CN"/>
        </w:rPr>
      </w:pPr>
    </w:p>
    <w:p w14:paraId="3817B156">
      <w:pPr>
        <w:pStyle w:val="2"/>
        <w:rPr>
          <w:rFonts w:hint="default" w:ascii="Times New Roman" w:hAnsi="Times New Roman" w:cs="Times New Roman"/>
          <w:color w:val="000000"/>
          <w:sz w:val="32"/>
          <w:szCs w:val="32"/>
          <w:u w:val="none"/>
          <w:shd w:val="clear" w:color="auto" w:fill="FFFFFF"/>
          <w:lang w:val="en-US" w:eastAsia="zh-CN"/>
        </w:rPr>
      </w:pPr>
    </w:p>
    <w:p w14:paraId="4E5C0555">
      <w:pPr>
        <w:pStyle w:val="2"/>
        <w:rPr>
          <w:rFonts w:hint="default" w:ascii="Times New Roman" w:hAnsi="Times New Roman" w:cs="Times New Roman"/>
          <w:color w:val="000000"/>
          <w:sz w:val="32"/>
          <w:szCs w:val="32"/>
          <w:u w:val="none"/>
          <w:shd w:val="clear" w:color="auto" w:fill="FFFFFF"/>
          <w:lang w:val="en-US" w:eastAsia="zh-CN"/>
        </w:rPr>
      </w:pPr>
    </w:p>
    <w:p w14:paraId="392536A7">
      <w:pPr>
        <w:pStyle w:val="2"/>
        <w:rPr>
          <w:rFonts w:hint="default" w:ascii="Times New Roman" w:hAnsi="Times New Roman" w:cs="Times New Roman"/>
          <w:color w:val="000000"/>
          <w:sz w:val="32"/>
          <w:szCs w:val="32"/>
          <w:u w:val="none"/>
          <w:shd w:val="clear" w:color="auto" w:fill="FFFFFF"/>
          <w:lang w:val="en-US" w:eastAsia="zh-CN"/>
        </w:rPr>
        <w:sectPr>
          <w:footerReference r:id="rId3" w:type="default"/>
          <w:pgSz w:w="11906" w:h="16838"/>
          <w:pgMar w:top="2098" w:right="1474" w:bottom="1814" w:left="1587" w:header="851" w:footer="992" w:gutter="0"/>
          <w:pgNumType w:fmt="decimal"/>
          <w:cols w:space="425" w:num="1"/>
          <w:docGrid w:type="lines" w:linePitch="312" w:charSpace="0"/>
        </w:sectPr>
      </w:pPr>
    </w:p>
    <w:p w14:paraId="2DAB14B8">
      <w:pPr>
        <w:spacing w:line="600" w:lineRule="exact"/>
        <w:ind w:left="0" w:leftChars="0" w:firstLine="0" w:firstLineChars="0"/>
        <w:rPr>
          <w:rFonts w:hint="eastAsia" w:ascii="黑体" w:hAnsi="黑体" w:eastAsia="黑体" w:cs="黑体"/>
          <w:color w:val="000000"/>
          <w:sz w:val="32"/>
          <w:szCs w:val="32"/>
          <w:u w:val="none"/>
          <w:shd w:val="clear" w:color="auto" w:fill="FFFFFF"/>
          <w:lang w:val="en-US" w:eastAsia="zh-CN"/>
        </w:rPr>
      </w:pPr>
      <w:r>
        <w:rPr>
          <w:rFonts w:hint="eastAsia" w:ascii="黑体" w:hAnsi="黑体" w:eastAsia="黑体" w:cs="黑体"/>
          <w:color w:val="000000"/>
          <w:sz w:val="32"/>
          <w:szCs w:val="32"/>
          <w:u w:val="none"/>
          <w:shd w:val="clear" w:color="auto" w:fill="FFFFFF"/>
          <w:lang w:val="en-US" w:eastAsia="zh-CN"/>
        </w:rPr>
        <w:t>附表1</w:t>
      </w:r>
    </w:p>
    <w:p w14:paraId="4769306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小标宋简体" w:cs="Times New Roman"/>
          <w:color w:val="000000"/>
          <w:kern w:val="2"/>
          <w:sz w:val="44"/>
          <w:szCs w:val="44"/>
          <w:u w:val="none"/>
          <w:shd w:val="clear" w:color="auto" w:fill="FFFFFF"/>
          <w:lang w:val="en-US" w:eastAsia="zh-CN" w:bidi="ar-SA"/>
        </w:rPr>
      </w:pPr>
      <w:r>
        <w:rPr>
          <w:rFonts w:hint="default" w:ascii="Times New Roman" w:hAnsi="Times New Roman" w:eastAsia="方正小标宋简体" w:cs="Times New Roman"/>
          <w:color w:val="000000"/>
          <w:kern w:val="2"/>
          <w:sz w:val="44"/>
          <w:szCs w:val="44"/>
          <w:u w:val="none"/>
          <w:shd w:val="clear" w:color="auto" w:fill="FFFFFF"/>
          <w:lang w:val="en-US" w:eastAsia="zh-CN" w:bidi="ar-SA"/>
        </w:rPr>
        <w:t>基本要求情况表</w:t>
      </w:r>
    </w:p>
    <w:tbl>
      <w:tblPr>
        <w:tblStyle w:val="16"/>
        <w:tblW w:w="13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5520"/>
        <w:gridCol w:w="1141"/>
        <w:gridCol w:w="5771"/>
      </w:tblGrid>
      <w:tr w14:paraId="10D1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7" w:type="dxa"/>
            <w:vAlign w:val="center"/>
          </w:tcPr>
          <w:p w14:paraId="6FAF69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bCs/>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24"/>
                <w:szCs w:val="24"/>
                <w:u w:val="none"/>
                <w:shd w:val="clear" w:color="auto" w:fill="FFFFFF"/>
                <w:vertAlign w:val="baseline"/>
                <w:lang w:val="en-US" w:eastAsia="zh-CN" w:bidi="ar-SA"/>
              </w:rPr>
              <w:t>序号</w:t>
            </w:r>
          </w:p>
        </w:tc>
        <w:tc>
          <w:tcPr>
            <w:tcW w:w="5520" w:type="dxa"/>
            <w:vAlign w:val="center"/>
          </w:tcPr>
          <w:p w14:paraId="0B44F0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bCs/>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24"/>
                <w:szCs w:val="24"/>
                <w:u w:val="none"/>
                <w:shd w:val="clear" w:color="auto" w:fill="FFFFFF"/>
                <w:vertAlign w:val="baseline"/>
                <w:lang w:val="en-US" w:eastAsia="zh-CN" w:bidi="ar-SA"/>
              </w:rPr>
              <w:t>基本要求</w:t>
            </w:r>
          </w:p>
        </w:tc>
        <w:tc>
          <w:tcPr>
            <w:tcW w:w="1141" w:type="dxa"/>
            <w:vAlign w:val="center"/>
          </w:tcPr>
          <w:p w14:paraId="0DB9BD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bCs/>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24"/>
                <w:szCs w:val="24"/>
                <w:u w:val="none"/>
                <w:shd w:val="clear" w:color="auto" w:fill="FFFFFF"/>
                <w:vertAlign w:val="baseline"/>
                <w:lang w:val="en-US" w:eastAsia="zh-CN" w:bidi="ar-SA"/>
              </w:rPr>
              <w:t>是否符合要求</w:t>
            </w:r>
          </w:p>
        </w:tc>
        <w:tc>
          <w:tcPr>
            <w:tcW w:w="5771" w:type="dxa"/>
            <w:vAlign w:val="center"/>
          </w:tcPr>
          <w:p w14:paraId="738199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bCs/>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24"/>
                <w:szCs w:val="24"/>
                <w:u w:val="none"/>
                <w:shd w:val="clear" w:color="auto" w:fill="FFFFFF"/>
                <w:vertAlign w:val="baseline"/>
                <w:lang w:val="en-US" w:eastAsia="zh-CN" w:bidi="ar-SA"/>
              </w:rPr>
              <w:t>证明材料</w:t>
            </w:r>
          </w:p>
          <w:p w14:paraId="6FB56A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bCs/>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24"/>
                <w:szCs w:val="24"/>
                <w:u w:val="none"/>
                <w:shd w:val="clear" w:color="auto" w:fill="FFFFFF"/>
                <w:vertAlign w:val="baseline"/>
                <w:lang w:val="en-US" w:eastAsia="zh-CN" w:bidi="ar-SA"/>
              </w:rPr>
              <w:t>（附页码索引）</w:t>
            </w:r>
          </w:p>
        </w:tc>
      </w:tr>
      <w:tr w14:paraId="56BD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 w:type="dxa"/>
            <w:vAlign w:val="center"/>
          </w:tcPr>
          <w:p w14:paraId="53DEF1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8"/>
                <w:szCs w:val="28"/>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1</w:t>
            </w:r>
          </w:p>
        </w:tc>
        <w:tc>
          <w:tcPr>
            <w:tcW w:w="5520" w:type="dxa"/>
          </w:tcPr>
          <w:p w14:paraId="16A5F56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工厂应依法设立，近三年无下列情况：</w:t>
            </w:r>
          </w:p>
          <w:p w14:paraId="3DC9D5E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1 未正常经营生产（工商注销、连续停产12个月以上、被市场监督管理部门列入经营异常名单且未被移出等）；</w:t>
            </w:r>
          </w:p>
          <w:p w14:paraId="2D60215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2. 发生安全（含网络安全、数据安全）、质量、环境污染等事故以及偷漏税等违法违规行为；</w:t>
            </w:r>
          </w:p>
          <w:p w14:paraId="5B56831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3. 被动态调整出绿色制造名单；</w:t>
            </w:r>
          </w:p>
          <w:p w14:paraId="5593693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4. 在国务院及有关部委相关督查工作中被发现存在严重问题；</w:t>
            </w:r>
          </w:p>
          <w:p w14:paraId="0640814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5. 被列入工业节能监察整改名单且未按要求完成整改；</w:t>
            </w:r>
          </w:p>
          <w:p w14:paraId="18708E4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6. 企业被列为失信被执行人。</w:t>
            </w:r>
          </w:p>
        </w:tc>
        <w:tc>
          <w:tcPr>
            <w:tcW w:w="1141" w:type="dxa"/>
            <w:vAlign w:val="center"/>
          </w:tcPr>
          <w:p w14:paraId="45D8B7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8"/>
                <w:szCs w:val="28"/>
                <w:u w:val="none"/>
                <w:shd w:val="clear" w:color="auto" w:fill="FFFFFF"/>
                <w:vertAlign w:val="baseline"/>
                <w:lang w:val="en-US" w:eastAsia="zh-CN" w:bidi="ar-SA"/>
              </w:rPr>
            </w:pPr>
          </w:p>
        </w:tc>
        <w:tc>
          <w:tcPr>
            <w:tcW w:w="5771" w:type="dxa"/>
            <w:vAlign w:val="center"/>
          </w:tcPr>
          <w:p w14:paraId="3608E9B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包括但不限于：</w:t>
            </w:r>
          </w:p>
          <w:p w14:paraId="195A9A2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1. 企业营业执照；</w:t>
            </w:r>
          </w:p>
          <w:p w14:paraId="7C0AB69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2. 信用中国、国家企业信用信息公示系统无违法违规相关页面截图；</w:t>
            </w:r>
          </w:p>
          <w:p w14:paraId="36126F5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000000"/>
                <w:kern w:val="2"/>
                <w:sz w:val="28"/>
                <w:szCs w:val="28"/>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3. 中国执行信息公开网（https://zxgk.court.gov.cn/）被执行人信息查询页面截图。</w:t>
            </w:r>
          </w:p>
        </w:tc>
      </w:tr>
      <w:tr w14:paraId="37AF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6638A3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8"/>
                <w:szCs w:val="28"/>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2</w:t>
            </w:r>
          </w:p>
        </w:tc>
        <w:tc>
          <w:tcPr>
            <w:tcW w:w="5520" w:type="dxa"/>
            <w:vAlign w:val="center"/>
          </w:tcPr>
          <w:p w14:paraId="481C6CE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工厂应明确绿色制造相关管理层职责，制定绿色低碳发展中长期规划及年度量化目标。</w:t>
            </w:r>
          </w:p>
        </w:tc>
        <w:tc>
          <w:tcPr>
            <w:tcW w:w="1141" w:type="dxa"/>
            <w:vAlign w:val="center"/>
          </w:tcPr>
          <w:p w14:paraId="706F2E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p>
        </w:tc>
        <w:tc>
          <w:tcPr>
            <w:tcW w:w="5771" w:type="dxa"/>
          </w:tcPr>
          <w:p w14:paraId="3E2D6D9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 xml:space="preserve">包括但不限于： </w:t>
            </w:r>
          </w:p>
          <w:p w14:paraId="1ECD09B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绿色工厂管理组织架构及职责分配相关制度文件；</w:t>
            </w:r>
          </w:p>
          <w:p w14:paraId="0A15BE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 xml:space="preserve">2. 经批准的工厂绿色低碳发展中长期规划； </w:t>
            </w:r>
          </w:p>
          <w:p w14:paraId="25C989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3. 规划中有关评价年的年度目标，评价年的年度目标、指标和实施方案及其达成统计。</w:t>
            </w:r>
          </w:p>
        </w:tc>
      </w:tr>
      <w:tr w14:paraId="6A61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1FEA8E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8"/>
                <w:szCs w:val="28"/>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3</w:t>
            </w:r>
          </w:p>
        </w:tc>
        <w:tc>
          <w:tcPr>
            <w:tcW w:w="5520" w:type="dxa"/>
          </w:tcPr>
          <w:p w14:paraId="6C1D91A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工厂按照GB/T 19001、GB/T 23331、GB/T 24001、GB/T 45001或相关行业适用的其他标准建立、实施、保持并持续改进质量、环境、能源和职业健康安全管理体系。</w:t>
            </w:r>
          </w:p>
        </w:tc>
        <w:tc>
          <w:tcPr>
            <w:tcW w:w="1141" w:type="dxa"/>
            <w:vAlign w:val="center"/>
          </w:tcPr>
          <w:p w14:paraId="20E228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p>
        </w:tc>
        <w:tc>
          <w:tcPr>
            <w:tcW w:w="5771" w:type="dxa"/>
          </w:tcPr>
          <w:p w14:paraId="165F348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 xml:space="preserve">包括但不限于： </w:t>
            </w:r>
          </w:p>
          <w:p w14:paraId="11D8E40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 xml:space="preserve">1. 管理体系手册； </w:t>
            </w:r>
          </w:p>
          <w:p w14:paraId="0564786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 xml:space="preserve">2. 体系文件清单； </w:t>
            </w:r>
          </w:p>
          <w:p w14:paraId="49EADC2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pPr>
            <w:r>
              <w:rPr>
                <w:rFonts w:hint="default" w:ascii="Times New Roman" w:hAnsi="Times New Roman" w:eastAsia="仿宋_GB2312" w:cs="Times New Roman"/>
                <w:color w:val="000000"/>
                <w:kern w:val="2"/>
                <w:sz w:val="22"/>
                <w:szCs w:val="22"/>
                <w:u w:val="none"/>
                <w:shd w:val="clear" w:color="auto" w:fill="FFFFFF"/>
                <w:vertAlign w:val="baseline"/>
                <w:lang w:val="en-US" w:eastAsia="zh-CN" w:bidi="ar-SA"/>
              </w:rPr>
              <w:t>3. 评价年体系内审及管理评审报告。</w:t>
            </w:r>
          </w:p>
        </w:tc>
      </w:tr>
    </w:tbl>
    <w:p w14:paraId="1B6949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黑体" w:cs="Times New Roman"/>
          <w:color w:val="000000"/>
          <w:sz w:val="28"/>
          <w:szCs w:val="28"/>
          <w:u w:val="none"/>
          <w:shd w:val="clear" w:color="auto" w:fill="FFFFFF"/>
          <w:lang w:val="en-US" w:eastAsia="zh-CN"/>
        </w:rPr>
        <w:sectPr>
          <w:pgSz w:w="16838" w:h="11906" w:orient="landscape"/>
          <w:pgMar w:top="1587" w:right="2098" w:bottom="1474" w:left="1814" w:header="851" w:footer="992" w:gutter="0"/>
          <w:pgNumType w:fmt="decimal"/>
          <w:cols w:space="425" w:num="1"/>
          <w:docGrid w:type="lines" w:linePitch="312" w:charSpace="0"/>
        </w:sectPr>
      </w:pPr>
    </w:p>
    <w:p w14:paraId="6D033C0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kern w:val="2"/>
          <w:sz w:val="32"/>
          <w:szCs w:val="32"/>
          <w:u w:val="none"/>
          <w:shd w:val="clear" w:color="auto" w:fill="FFFFFF"/>
          <w:lang w:val="en-US" w:eastAsia="zh-CN" w:bidi="ar-SA"/>
        </w:rPr>
      </w:pPr>
      <w:r>
        <w:rPr>
          <w:rFonts w:hint="eastAsia" w:ascii="黑体" w:hAnsi="黑体" w:eastAsia="黑体" w:cs="黑体"/>
          <w:color w:val="000000"/>
          <w:kern w:val="2"/>
          <w:sz w:val="32"/>
          <w:szCs w:val="32"/>
          <w:u w:val="none"/>
          <w:shd w:val="clear" w:color="auto" w:fill="FFFFFF"/>
          <w:lang w:val="en-US" w:eastAsia="zh-CN" w:bidi="ar-SA"/>
        </w:rPr>
        <w:t>附表2</w:t>
      </w:r>
    </w:p>
    <w:p w14:paraId="50A0F5C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小标宋简体" w:cs="Times New Roman"/>
          <w:color w:val="000000"/>
          <w:kern w:val="2"/>
          <w:sz w:val="44"/>
          <w:szCs w:val="44"/>
          <w:u w:val="none"/>
          <w:shd w:val="clear" w:color="auto" w:fill="FFFFFF"/>
          <w:lang w:val="en-US" w:eastAsia="zh-CN" w:bidi="ar-SA"/>
        </w:rPr>
      </w:pPr>
      <w:r>
        <w:rPr>
          <w:rFonts w:hint="default" w:ascii="Times New Roman" w:hAnsi="Times New Roman" w:eastAsia="方正小标宋简体" w:cs="Times New Roman"/>
          <w:color w:val="000000"/>
          <w:kern w:val="2"/>
          <w:sz w:val="44"/>
          <w:szCs w:val="44"/>
          <w:u w:val="none"/>
          <w:shd w:val="clear" w:color="auto" w:fill="FFFFFF"/>
          <w:lang w:val="en-US" w:eastAsia="zh-CN" w:bidi="ar-SA"/>
        </w:rPr>
        <w:t>绿色工厂评价指标表</w:t>
      </w:r>
    </w:p>
    <w:tbl>
      <w:tblPr>
        <w:tblStyle w:val="16"/>
        <w:tblW w:w="14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394"/>
        <w:gridCol w:w="748"/>
        <w:gridCol w:w="1680"/>
        <w:gridCol w:w="2163"/>
        <w:gridCol w:w="658"/>
        <w:gridCol w:w="714"/>
        <w:gridCol w:w="1489"/>
        <w:gridCol w:w="1039"/>
        <w:gridCol w:w="1039"/>
        <w:gridCol w:w="3688"/>
      </w:tblGrid>
      <w:tr w14:paraId="21CA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9" w:type="dxa"/>
            <w:vAlign w:val="center"/>
          </w:tcPr>
          <w:p w14:paraId="7A61AD7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t>一级指标</w:t>
            </w:r>
          </w:p>
          <w:p w14:paraId="7D77607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t>（权重）</w:t>
            </w:r>
          </w:p>
        </w:tc>
        <w:tc>
          <w:tcPr>
            <w:tcW w:w="394" w:type="dxa"/>
            <w:vAlign w:val="center"/>
          </w:tcPr>
          <w:p w14:paraId="2BC3CB8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t>序号</w:t>
            </w:r>
          </w:p>
        </w:tc>
        <w:tc>
          <w:tcPr>
            <w:tcW w:w="748" w:type="dxa"/>
            <w:vAlign w:val="center"/>
          </w:tcPr>
          <w:p w14:paraId="3AF3D94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t>二级指标</w:t>
            </w:r>
          </w:p>
        </w:tc>
        <w:tc>
          <w:tcPr>
            <w:tcW w:w="3843" w:type="dxa"/>
            <w:gridSpan w:val="2"/>
            <w:vAlign w:val="center"/>
          </w:tcPr>
          <w:p w14:paraId="0121B4D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t>三级指标</w:t>
            </w:r>
          </w:p>
        </w:tc>
        <w:tc>
          <w:tcPr>
            <w:tcW w:w="658" w:type="dxa"/>
            <w:vAlign w:val="center"/>
          </w:tcPr>
          <w:p w14:paraId="29E4D40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t>指标类型</w:t>
            </w:r>
          </w:p>
        </w:tc>
        <w:tc>
          <w:tcPr>
            <w:tcW w:w="714" w:type="dxa"/>
            <w:vAlign w:val="center"/>
          </w:tcPr>
          <w:p w14:paraId="52F82CD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t>单位</w:t>
            </w:r>
          </w:p>
        </w:tc>
        <w:tc>
          <w:tcPr>
            <w:tcW w:w="1489" w:type="dxa"/>
            <w:vAlign w:val="center"/>
          </w:tcPr>
          <w:p w14:paraId="096CCEE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t>上一年度指标值</w:t>
            </w:r>
          </w:p>
        </w:tc>
        <w:tc>
          <w:tcPr>
            <w:tcW w:w="1039" w:type="dxa"/>
            <w:vAlign w:val="center"/>
          </w:tcPr>
          <w:p w14:paraId="3D4570C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t>权重分值</w:t>
            </w:r>
          </w:p>
        </w:tc>
        <w:tc>
          <w:tcPr>
            <w:tcW w:w="1039" w:type="dxa"/>
            <w:vAlign w:val="center"/>
          </w:tcPr>
          <w:p w14:paraId="1A8205B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t>评价得分</w:t>
            </w:r>
          </w:p>
        </w:tc>
        <w:tc>
          <w:tcPr>
            <w:tcW w:w="3688" w:type="dxa"/>
            <w:vAlign w:val="center"/>
          </w:tcPr>
          <w:p w14:paraId="58EAE87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t>证明材料</w:t>
            </w:r>
          </w:p>
          <w:p w14:paraId="4C7550B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b/>
                <w:bCs/>
                <w:color w:val="000000"/>
                <w:kern w:val="2"/>
                <w:sz w:val="15"/>
                <w:szCs w:val="15"/>
                <w:u w:val="none"/>
                <w:shd w:val="clear" w:color="auto" w:fill="FFFFFF"/>
                <w:vertAlign w:val="baseline"/>
                <w:lang w:val="en-US" w:eastAsia="zh-CN" w:bidi="ar-SA"/>
              </w:rPr>
              <w:t>（附页码索引）</w:t>
            </w:r>
          </w:p>
        </w:tc>
      </w:tr>
      <w:tr w14:paraId="15E4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restart"/>
            <w:vAlign w:val="center"/>
          </w:tcPr>
          <w:p w14:paraId="6BA0ED0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能源低碳化</w:t>
            </w:r>
          </w:p>
          <w:p w14:paraId="74F31BF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（30%）</w:t>
            </w:r>
          </w:p>
        </w:tc>
        <w:tc>
          <w:tcPr>
            <w:tcW w:w="394" w:type="dxa"/>
            <w:vMerge w:val="restart"/>
            <w:vAlign w:val="center"/>
          </w:tcPr>
          <w:p w14:paraId="2BA6370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1</w:t>
            </w:r>
          </w:p>
        </w:tc>
        <w:tc>
          <w:tcPr>
            <w:tcW w:w="748" w:type="dxa"/>
            <w:vMerge w:val="restart"/>
            <w:vAlign w:val="center"/>
          </w:tcPr>
          <w:p w14:paraId="0919AA8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能源消耗强度</w:t>
            </w:r>
          </w:p>
        </w:tc>
        <w:tc>
          <w:tcPr>
            <w:tcW w:w="1680" w:type="dxa"/>
            <w:vMerge w:val="restart"/>
            <w:vAlign w:val="center"/>
          </w:tcPr>
          <w:p w14:paraId="14D0CE6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有适用国家强制性能源消耗限额标准</w:t>
            </w:r>
          </w:p>
          <w:p w14:paraId="264A2B0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无适用国家强制性能源消耗限额标准</w:t>
            </w:r>
          </w:p>
        </w:tc>
        <w:tc>
          <w:tcPr>
            <w:tcW w:w="2163" w:type="dxa"/>
            <w:vAlign w:val="center"/>
          </w:tcPr>
          <w:p w14:paraId="327C883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单位产品综合能耗 （有适用国家强制性能源消耗限额标准时必选，涉及多种产品适用标准时，仅填写综合能耗排序前三以内的产品）</w:t>
            </w:r>
          </w:p>
        </w:tc>
        <w:tc>
          <w:tcPr>
            <w:tcW w:w="658" w:type="dxa"/>
            <w:vMerge w:val="restart"/>
            <w:vAlign w:val="center"/>
          </w:tcPr>
          <w:p w14:paraId="20E9580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逆向定量</w:t>
            </w:r>
          </w:p>
        </w:tc>
        <w:tc>
          <w:tcPr>
            <w:tcW w:w="714" w:type="dxa"/>
            <w:vAlign w:val="center"/>
          </w:tcPr>
          <w:p w14:paraId="76A26B7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tce/产品单位或kgce/产品单位</w:t>
            </w:r>
          </w:p>
        </w:tc>
        <w:tc>
          <w:tcPr>
            <w:tcW w:w="1489" w:type="dxa"/>
            <w:vAlign w:val="center"/>
          </w:tcPr>
          <w:p w14:paraId="26CC39E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restart"/>
            <w:vAlign w:val="center"/>
          </w:tcPr>
          <w:p w14:paraId="0B84F62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8</w:t>
            </w:r>
          </w:p>
        </w:tc>
        <w:tc>
          <w:tcPr>
            <w:tcW w:w="1039" w:type="dxa"/>
            <w:vMerge w:val="restart"/>
            <w:vAlign w:val="center"/>
          </w:tcPr>
          <w:p w14:paraId="1D317DB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Merge w:val="restart"/>
            <w:vAlign w:val="center"/>
          </w:tcPr>
          <w:p w14:paraId="026B38E5">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1、指标计算过程</w:t>
            </w:r>
            <w:r>
              <w:rPr>
                <w:rFonts w:hint="eastAsia" w:ascii="Times New Roman" w:hAnsi="Times New Roman" w:cs="Times New Roman"/>
                <w:color w:val="000000"/>
                <w:kern w:val="2"/>
                <w:sz w:val="15"/>
                <w:szCs w:val="15"/>
                <w:u w:val="none"/>
                <w:shd w:val="clear" w:color="auto" w:fill="FFFFFF"/>
                <w:vertAlign w:val="baseline"/>
                <w:lang w:val="en-US" w:eastAsia="zh-CN" w:bidi="ar-SA"/>
              </w:rPr>
              <w:t>表</w:t>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及其附件</w:t>
            </w:r>
          </w:p>
          <w:p w14:paraId="1858CFD8">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 xml:space="preserve">2、报统计部门《工业产销总值及主要产品产量》（B204-1）、《能源购进、消费与库存》（205-1表） </w:t>
            </w:r>
          </w:p>
          <w:p w14:paraId="5E554E02">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 xml:space="preserve">3、《能源加工转换与回收利用》（205-2表）（如有）、《主要耗能工业企业单位产品能源消费情况》（205-3表）（如有）、《能源生产、销售与库存》（205-6表）（如有） </w:t>
            </w:r>
          </w:p>
          <w:p w14:paraId="4CA15B18">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4、《重点用能单位能源利用状况报告》（如有）</w:t>
            </w:r>
          </w:p>
        </w:tc>
      </w:tr>
      <w:tr w14:paraId="51A4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351EADC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continue"/>
            <w:vAlign w:val="center"/>
          </w:tcPr>
          <w:p w14:paraId="1150946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48" w:type="dxa"/>
            <w:vMerge w:val="continue"/>
            <w:vAlign w:val="center"/>
          </w:tcPr>
          <w:p w14:paraId="6E3D9EB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680" w:type="dxa"/>
            <w:vMerge w:val="continue"/>
            <w:vAlign w:val="center"/>
          </w:tcPr>
          <w:p w14:paraId="2D2AA60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2163" w:type="dxa"/>
            <w:vAlign w:val="center"/>
          </w:tcPr>
          <w:p w14:paraId="4E8A6CE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产品一名称</w:t>
            </w:r>
          </w:p>
        </w:tc>
        <w:tc>
          <w:tcPr>
            <w:tcW w:w="658" w:type="dxa"/>
            <w:vMerge w:val="continue"/>
            <w:vAlign w:val="center"/>
          </w:tcPr>
          <w:p w14:paraId="18F92A4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14" w:type="dxa"/>
            <w:vAlign w:val="center"/>
          </w:tcPr>
          <w:p w14:paraId="2A0DE0A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489" w:type="dxa"/>
            <w:vAlign w:val="center"/>
          </w:tcPr>
          <w:p w14:paraId="0656ADB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072C4AE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6DF1C31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Merge w:val="continue"/>
            <w:vAlign w:val="center"/>
          </w:tcPr>
          <w:p w14:paraId="1D8DB79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r>
      <w:tr w14:paraId="4304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77FF2BA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continue"/>
            <w:vAlign w:val="center"/>
          </w:tcPr>
          <w:p w14:paraId="4106F1A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48" w:type="dxa"/>
            <w:vMerge w:val="continue"/>
            <w:vAlign w:val="center"/>
          </w:tcPr>
          <w:p w14:paraId="2C85CCF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680" w:type="dxa"/>
            <w:vMerge w:val="continue"/>
            <w:vAlign w:val="center"/>
          </w:tcPr>
          <w:p w14:paraId="68BA908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2163" w:type="dxa"/>
            <w:vAlign w:val="center"/>
          </w:tcPr>
          <w:p w14:paraId="0A47F41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产品二名称</w:t>
            </w:r>
          </w:p>
        </w:tc>
        <w:tc>
          <w:tcPr>
            <w:tcW w:w="658" w:type="dxa"/>
            <w:vMerge w:val="continue"/>
            <w:vAlign w:val="center"/>
          </w:tcPr>
          <w:p w14:paraId="391D849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14" w:type="dxa"/>
            <w:vAlign w:val="center"/>
          </w:tcPr>
          <w:p w14:paraId="548B2F0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489" w:type="dxa"/>
            <w:vAlign w:val="center"/>
          </w:tcPr>
          <w:p w14:paraId="64E1D44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70A3497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535CE45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Merge w:val="continue"/>
            <w:vAlign w:val="center"/>
          </w:tcPr>
          <w:p w14:paraId="4267FD6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r>
      <w:tr w14:paraId="4CCF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1BD4447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continue"/>
            <w:vAlign w:val="center"/>
          </w:tcPr>
          <w:p w14:paraId="4432015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48" w:type="dxa"/>
            <w:vMerge w:val="continue"/>
            <w:vAlign w:val="center"/>
          </w:tcPr>
          <w:p w14:paraId="1D35FDF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680" w:type="dxa"/>
            <w:vMerge w:val="continue"/>
            <w:vAlign w:val="center"/>
          </w:tcPr>
          <w:p w14:paraId="1500B51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2163" w:type="dxa"/>
            <w:vAlign w:val="center"/>
          </w:tcPr>
          <w:p w14:paraId="29B3209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产品三名称</w:t>
            </w:r>
          </w:p>
        </w:tc>
        <w:tc>
          <w:tcPr>
            <w:tcW w:w="658" w:type="dxa"/>
            <w:vMerge w:val="continue"/>
            <w:vAlign w:val="center"/>
          </w:tcPr>
          <w:p w14:paraId="10778F7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14" w:type="dxa"/>
            <w:vAlign w:val="center"/>
          </w:tcPr>
          <w:p w14:paraId="0716413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489" w:type="dxa"/>
            <w:vAlign w:val="center"/>
          </w:tcPr>
          <w:p w14:paraId="3A98B59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6209133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5E20AAB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Merge w:val="continue"/>
            <w:vAlign w:val="center"/>
          </w:tcPr>
          <w:p w14:paraId="2698AC5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r>
      <w:tr w14:paraId="1C44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3B9E4FF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continue"/>
            <w:vAlign w:val="center"/>
          </w:tcPr>
          <w:p w14:paraId="2AB3615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48" w:type="dxa"/>
            <w:vMerge w:val="continue"/>
            <w:vAlign w:val="center"/>
          </w:tcPr>
          <w:p w14:paraId="3430191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680" w:type="dxa"/>
            <w:vMerge w:val="continue"/>
            <w:vAlign w:val="center"/>
          </w:tcPr>
          <w:p w14:paraId="4818203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2163" w:type="dxa"/>
            <w:vAlign w:val="center"/>
          </w:tcPr>
          <w:p w14:paraId="032E6F4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单位产值综合能耗 （无适用国家强制性能源消耗限额标准时选用）</w:t>
            </w:r>
          </w:p>
        </w:tc>
        <w:tc>
          <w:tcPr>
            <w:tcW w:w="658" w:type="dxa"/>
            <w:vAlign w:val="center"/>
          </w:tcPr>
          <w:p w14:paraId="58CCCAD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逆向定量</w:t>
            </w:r>
          </w:p>
        </w:tc>
        <w:tc>
          <w:tcPr>
            <w:tcW w:w="714" w:type="dxa"/>
            <w:vAlign w:val="center"/>
          </w:tcPr>
          <w:p w14:paraId="2152F82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kgce/万元</w:t>
            </w:r>
          </w:p>
        </w:tc>
        <w:tc>
          <w:tcPr>
            <w:tcW w:w="1489" w:type="dxa"/>
            <w:vAlign w:val="center"/>
          </w:tcPr>
          <w:p w14:paraId="13DBBAA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224CDEF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3196672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Merge w:val="continue"/>
            <w:vAlign w:val="center"/>
          </w:tcPr>
          <w:p w14:paraId="185F6D5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r>
      <w:tr w14:paraId="0604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0F23534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Align w:val="center"/>
          </w:tcPr>
          <w:p w14:paraId="0F74C6E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2</w:t>
            </w:r>
          </w:p>
        </w:tc>
        <w:tc>
          <w:tcPr>
            <w:tcW w:w="748" w:type="dxa"/>
            <w:vAlign w:val="center"/>
          </w:tcPr>
          <w:p w14:paraId="27D37AC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碳排放强度</w:t>
            </w:r>
          </w:p>
        </w:tc>
        <w:tc>
          <w:tcPr>
            <w:tcW w:w="3843" w:type="dxa"/>
            <w:gridSpan w:val="2"/>
            <w:vAlign w:val="center"/>
          </w:tcPr>
          <w:p w14:paraId="55608C2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单位产值碳排放量</w:t>
            </w:r>
          </w:p>
        </w:tc>
        <w:tc>
          <w:tcPr>
            <w:tcW w:w="658" w:type="dxa"/>
            <w:vAlign w:val="center"/>
          </w:tcPr>
          <w:p w14:paraId="065EBBA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逆向定量</w:t>
            </w:r>
          </w:p>
        </w:tc>
        <w:tc>
          <w:tcPr>
            <w:tcW w:w="714" w:type="dxa"/>
            <w:vAlign w:val="center"/>
          </w:tcPr>
          <w:p w14:paraId="50A16B0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KgCO2/万元</w:t>
            </w:r>
          </w:p>
        </w:tc>
        <w:tc>
          <w:tcPr>
            <w:tcW w:w="1489" w:type="dxa"/>
            <w:vAlign w:val="center"/>
          </w:tcPr>
          <w:p w14:paraId="27E437B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Align w:val="center"/>
          </w:tcPr>
          <w:p w14:paraId="61B5978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8</w:t>
            </w:r>
          </w:p>
        </w:tc>
        <w:tc>
          <w:tcPr>
            <w:tcW w:w="1039" w:type="dxa"/>
            <w:vAlign w:val="center"/>
          </w:tcPr>
          <w:p w14:paraId="29298E7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56378851">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1、指标计算过程</w:t>
            </w:r>
            <w:r>
              <w:rPr>
                <w:rFonts w:hint="eastAsia" w:ascii="Times New Roman" w:hAnsi="Times New Roman" w:cs="Times New Roman"/>
                <w:color w:val="000000"/>
                <w:kern w:val="2"/>
                <w:sz w:val="15"/>
                <w:szCs w:val="15"/>
                <w:u w:val="none"/>
                <w:shd w:val="clear" w:color="auto" w:fill="FFFFFF"/>
                <w:vertAlign w:val="baseline"/>
                <w:lang w:val="en-US" w:eastAsia="zh-CN" w:bidi="ar-SA"/>
              </w:rPr>
              <w:t>表</w:t>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及其附件</w:t>
            </w:r>
          </w:p>
          <w:p w14:paraId="5717ECB6">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2、温室气体排放报告（依据相关核算标准给出的报告模板）</w:t>
            </w:r>
          </w:p>
          <w:p w14:paraId="31FEA285">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3、报统计部门《工业产销总值及主要产品产量》（B204-1）</w:t>
            </w:r>
          </w:p>
        </w:tc>
      </w:tr>
      <w:tr w14:paraId="4F91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7C8E506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Align w:val="center"/>
          </w:tcPr>
          <w:p w14:paraId="5220467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3</w:t>
            </w:r>
          </w:p>
        </w:tc>
        <w:tc>
          <w:tcPr>
            <w:tcW w:w="748" w:type="dxa"/>
            <w:vAlign w:val="center"/>
          </w:tcPr>
          <w:p w14:paraId="1A6F1D2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可再生能源利用率</w:t>
            </w:r>
          </w:p>
        </w:tc>
        <w:tc>
          <w:tcPr>
            <w:tcW w:w="3843" w:type="dxa"/>
            <w:gridSpan w:val="2"/>
            <w:vAlign w:val="center"/>
          </w:tcPr>
          <w:p w14:paraId="005589B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可再生能源利用率</w:t>
            </w:r>
          </w:p>
        </w:tc>
        <w:tc>
          <w:tcPr>
            <w:tcW w:w="658" w:type="dxa"/>
            <w:vAlign w:val="center"/>
          </w:tcPr>
          <w:p w14:paraId="4B42C6A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正向定量</w:t>
            </w:r>
          </w:p>
        </w:tc>
        <w:tc>
          <w:tcPr>
            <w:tcW w:w="714" w:type="dxa"/>
            <w:vAlign w:val="center"/>
          </w:tcPr>
          <w:p w14:paraId="12967BB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489" w:type="dxa"/>
            <w:vAlign w:val="center"/>
          </w:tcPr>
          <w:p w14:paraId="458DA91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Align w:val="center"/>
          </w:tcPr>
          <w:p w14:paraId="656AA03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8</w:t>
            </w:r>
          </w:p>
        </w:tc>
        <w:tc>
          <w:tcPr>
            <w:tcW w:w="1039" w:type="dxa"/>
            <w:vAlign w:val="center"/>
          </w:tcPr>
          <w:p w14:paraId="088A132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76277815">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1、指标计算过程</w:t>
            </w:r>
            <w:r>
              <w:rPr>
                <w:rFonts w:hint="eastAsia" w:ascii="Times New Roman" w:hAnsi="Times New Roman" w:cs="Times New Roman"/>
                <w:color w:val="000000"/>
                <w:kern w:val="2"/>
                <w:sz w:val="15"/>
                <w:szCs w:val="15"/>
                <w:u w:val="none"/>
                <w:shd w:val="clear" w:color="auto" w:fill="FFFFFF"/>
                <w:vertAlign w:val="baseline"/>
                <w:lang w:val="en-US" w:eastAsia="zh-CN" w:bidi="ar-SA"/>
              </w:rPr>
              <w:t>表</w:t>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及其附件</w:t>
            </w:r>
          </w:p>
          <w:p w14:paraId="03D19A9B">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2、报统计部门《能源购进、消费与库存》（205-1表）、《能源加工转换与回收利用》（205-2表）（如有）、《能源生产、销售与库存》（205-6表）（如有）</w:t>
            </w:r>
          </w:p>
          <w:p w14:paraId="6E4BFA4B">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3、《可再生能源电力消费核算清单》</w:t>
            </w:r>
          </w:p>
          <w:p w14:paraId="17AAF630">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4、可再生能源消费凭证，例如绿色电力市场化交易合同、交易结算凭证、绿证（GEC）等可再生能源电力消费凭证，非电力形式可再生能源利用相关合同、协议等。</w:t>
            </w:r>
          </w:p>
          <w:p w14:paraId="6E070E07">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注：《可再生能源电力消费核算清单》可由电力交易机构出具或企业自行整理填报；如提供了电力交易机构出具的带签章、编号的核算清单，其内容覆盖的绿色电力市场化交易合同、交易结算凭证、绿证（GEC）等可再生能源电力消费凭证可免予提供；如企业自行整理填报，则需将相关凭证顺次整理并随附。</w:t>
            </w:r>
          </w:p>
        </w:tc>
      </w:tr>
      <w:tr w14:paraId="72CA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69307DB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Align w:val="center"/>
          </w:tcPr>
          <w:p w14:paraId="687919A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4</w:t>
            </w:r>
          </w:p>
        </w:tc>
        <w:tc>
          <w:tcPr>
            <w:tcW w:w="4591" w:type="dxa"/>
            <w:gridSpan w:val="3"/>
            <w:vAlign w:val="center"/>
          </w:tcPr>
          <w:p w14:paraId="499C0CB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能碳管理系统平台功能符合数量</w:t>
            </w:r>
          </w:p>
        </w:tc>
        <w:tc>
          <w:tcPr>
            <w:tcW w:w="658" w:type="dxa"/>
            <w:vAlign w:val="center"/>
          </w:tcPr>
          <w:p w14:paraId="562BAC2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正向定量</w:t>
            </w:r>
          </w:p>
        </w:tc>
        <w:tc>
          <w:tcPr>
            <w:tcW w:w="714" w:type="dxa"/>
            <w:vAlign w:val="center"/>
          </w:tcPr>
          <w:p w14:paraId="70E2649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项</w:t>
            </w:r>
          </w:p>
        </w:tc>
        <w:tc>
          <w:tcPr>
            <w:tcW w:w="1489" w:type="dxa"/>
            <w:vAlign w:val="center"/>
          </w:tcPr>
          <w:p w14:paraId="1B9769C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能耗查询</w:t>
            </w:r>
          </w:p>
          <w:p w14:paraId="42DE8AA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能源消费量和强度计算</w:t>
            </w:r>
          </w:p>
          <w:p w14:paraId="4D69FBB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能源消费分析与用能策略推荐</w:t>
            </w:r>
          </w:p>
          <w:p w14:paraId="017CEE6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能效对标</w:t>
            </w:r>
          </w:p>
          <w:p w14:paraId="21B6D48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能流分析</w:t>
            </w:r>
          </w:p>
          <w:p w14:paraId="5741AF5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能效平衡与优化</w:t>
            </w:r>
          </w:p>
          <w:p w14:paraId="09E8414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用能与碳排放预算管理</w:t>
            </w:r>
          </w:p>
          <w:p w14:paraId="1F96E5C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碳排放核算</w:t>
            </w:r>
          </w:p>
          <w:p w14:paraId="368EC53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碳足迹核算</w:t>
            </w:r>
          </w:p>
          <w:p w14:paraId="1AC0F67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供应链管理</w:t>
            </w:r>
          </w:p>
          <w:p w14:paraId="059EF8A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碳核查支撑</w:t>
            </w:r>
          </w:p>
          <w:p w14:paraId="718605F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碳资产管理</w:t>
            </w:r>
          </w:p>
        </w:tc>
        <w:tc>
          <w:tcPr>
            <w:tcW w:w="1039" w:type="dxa"/>
            <w:vAlign w:val="center"/>
          </w:tcPr>
          <w:p w14:paraId="1F9EAF5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6</w:t>
            </w:r>
          </w:p>
        </w:tc>
        <w:tc>
          <w:tcPr>
            <w:tcW w:w="1039" w:type="dxa"/>
            <w:vAlign w:val="center"/>
          </w:tcPr>
          <w:p w14:paraId="4B0C7DB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7A2C11FB">
            <w:pPr>
              <w:keepNext w:val="0"/>
              <w:keepLines w:val="0"/>
              <w:pageBreakBefore w:val="0"/>
              <w:widowControl w:val="0"/>
              <w:numPr>
                <w:ilvl w:val="0"/>
                <w:numId w:val="2"/>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平台系统架构设计文档，说明与相关业务功能的对应关系</w:t>
            </w:r>
          </w:p>
          <w:p w14:paraId="03EDB438">
            <w:pPr>
              <w:keepNext w:val="0"/>
              <w:keepLines w:val="0"/>
              <w:pageBreakBefore w:val="0"/>
              <w:widowControl w:val="0"/>
              <w:numPr>
                <w:ilvl w:val="0"/>
                <w:numId w:val="2"/>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 xml:space="preserve">平台开发采购合同、部署验收报告（如有） </w:t>
            </w:r>
          </w:p>
          <w:p w14:paraId="3143790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3、平台功能实现或效果验证材料，例如用户操作手册、功能截图（大屏看板、APP能耗实时展示等功能界面）等</w:t>
            </w:r>
          </w:p>
        </w:tc>
      </w:tr>
      <w:tr w14:paraId="5692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29" w:type="dxa"/>
            <w:vMerge w:val="restart"/>
            <w:vAlign w:val="center"/>
          </w:tcPr>
          <w:p w14:paraId="7FC1D8B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资源高效化（30%）</w:t>
            </w:r>
          </w:p>
        </w:tc>
        <w:tc>
          <w:tcPr>
            <w:tcW w:w="394" w:type="dxa"/>
            <w:vMerge w:val="restart"/>
            <w:vAlign w:val="center"/>
          </w:tcPr>
          <w:p w14:paraId="530FDD4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5</w:t>
            </w:r>
          </w:p>
        </w:tc>
        <w:tc>
          <w:tcPr>
            <w:tcW w:w="748" w:type="dxa"/>
            <w:vMerge w:val="restart"/>
            <w:vAlign w:val="center"/>
          </w:tcPr>
          <w:p w14:paraId="45D273E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节约原材料</w:t>
            </w:r>
          </w:p>
        </w:tc>
        <w:tc>
          <w:tcPr>
            <w:tcW w:w="3843" w:type="dxa"/>
            <w:gridSpan w:val="2"/>
            <w:vAlign w:val="center"/>
          </w:tcPr>
          <w:p w14:paraId="0114AFB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减少生产过程中原辅材料消耗应用案例</w:t>
            </w:r>
          </w:p>
        </w:tc>
        <w:tc>
          <w:tcPr>
            <w:tcW w:w="658" w:type="dxa"/>
            <w:vAlign w:val="center"/>
          </w:tcPr>
          <w:p w14:paraId="7DA0AF1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正向定性</w:t>
            </w:r>
          </w:p>
        </w:tc>
        <w:tc>
          <w:tcPr>
            <w:tcW w:w="714" w:type="dxa"/>
            <w:vAlign w:val="center"/>
          </w:tcPr>
          <w:p w14:paraId="70F31FC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489" w:type="dxa"/>
            <w:vAlign w:val="center"/>
          </w:tcPr>
          <w:p w14:paraId="4C34238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039" w:type="dxa"/>
            <w:vAlign w:val="center"/>
          </w:tcPr>
          <w:p w14:paraId="7065DCF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4</w:t>
            </w:r>
          </w:p>
        </w:tc>
        <w:tc>
          <w:tcPr>
            <w:tcW w:w="1039" w:type="dxa"/>
            <w:vAlign w:val="center"/>
          </w:tcPr>
          <w:p w14:paraId="4F99AD5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6BF528D6">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提供本单位减少生产过程中原辅材料消耗的应用案例</w:t>
            </w:r>
          </w:p>
        </w:tc>
      </w:tr>
      <w:tr w14:paraId="55CD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29" w:type="dxa"/>
            <w:vMerge w:val="continue"/>
            <w:vAlign w:val="center"/>
          </w:tcPr>
          <w:p w14:paraId="0B69D2B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continue"/>
            <w:vAlign w:val="center"/>
          </w:tcPr>
          <w:p w14:paraId="4A86C49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48" w:type="dxa"/>
            <w:vMerge w:val="continue"/>
            <w:vAlign w:val="center"/>
          </w:tcPr>
          <w:p w14:paraId="0C00ECF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843" w:type="dxa"/>
            <w:gridSpan w:val="2"/>
            <w:vAlign w:val="center"/>
          </w:tcPr>
          <w:p w14:paraId="19008F3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使用再生材料、回收再利用材料或可回收材料替代原生材料、不可回收材料改善应用案例</w:t>
            </w:r>
          </w:p>
        </w:tc>
        <w:tc>
          <w:tcPr>
            <w:tcW w:w="658" w:type="dxa"/>
            <w:vAlign w:val="center"/>
          </w:tcPr>
          <w:p w14:paraId="4ACC80C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正向定性</w:t>
            </w:r>
          </w:p>
        </w:tc>
        <w:tc>
          <w:tcPr>
            <w:tcW w:w="714" w:type="dxa"/>
            <w:vAlign w:val="center"/>
          </w:tcPr>
          <w:p w14:paraId="57B454D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489" w:type="dxa"/>
            <w:vAlign w:val="center"/>
          </w:tcPr>
          <w:p w14:paraId="6A68CE3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039" w:type="dxa"/>
            <w:vAlign w:val="center"/>
          </w:tcPr>
          <w:p w14:paraId="6715589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4</w:t>
            </w:r>
          </w:p>
        </w:tc>
        <w:tc>
          <w:tcPr>
            <w:tcW w:w="1039" w:type="dxa"/>
            <w:vAlign w:val="center"/>
          </w:tcPr>
          <w:p w14:paraId="1B263ED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30831E6B">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提供本单位使用再生材料、回收再利用材料或可回收材料替代原生材料、不可回收材料改善应用案例</w:t>
            </w:r>
          </w:p>
        </w:tc>
      </w:tr>
      <w:tr w14:paraId="176A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29" w:type="dxa"/>
            <w:vMerge w:val="continue"/>
            <w:vAlign w:val="center"/>
          </w:tcPr>
          <w:p w14:paraId="17E9A62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restart"/>
            <w:vAlign w:val="center"/>
          </w:tcPr>
          <w:p w14:paraId="737953C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6</w:t>
            </w:r>
          </w:p>
        </w:tc>
        <w:tc>
          <w:tcPr>
            <w:tcW w:w="748" w:type="dxa"/>
            <w:vMerge w:val="restart"/>
            <w:vAlign w:val="center"/>
          </w:tcPr>
          <w:p w14:paraId="15702DC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取水强度</w:t>
            </w:r>
          </w:p>
        </w:tc>
        <w:tc>
          <w:tcPr>
            <w:tcW w:w="1680" w:type="dxa"/>
            <w:vMerge w:val="restart"/>
            <w:vAlign w:val="center"/>
          </w:tcPr>
          <w:p w14:paraId="4C0545E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有适用工业用水定额国家标准</w:t>
            </w:r>
          </w:p>
          <w:p w14:paraId="325DAA1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sym w:font="Wingdings" w:char="00A8"/>
            </w: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无适用工业用水定额国家标准</w:t>
            </w:r>
          </w:p>
        </w:tc>
        <w:tc>
          <w:tcPr>
            <w:tcW w:w="2163" w:type="dxa"/>
            <w:vAlign w:val="center"/>
          </w:tcPr>
          <w:p w14:paraId="59C25BF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单位产品取水量 （有适用工业用水定额国家标准时必选，涉及多种产品适用标准时，仅填写取水量排序前三以内的产品）</w:t>
            </w:r>
          </w:p>
        </w:tc>
        <w:tc>
          <w:tcPr>
            <w:tcW w:w="658" w:type="dxa"/>
            <w:vMerge w:val="restart"/>
            <w:vAlign w:val="center"/>
          </w:tcPr>
          <w:p w14:paraId="52F1E7B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逆向定量</w:t>
            </w:r>
          </w:p>
        </w:tc>
        <w:tc>
          <w:tcPr>
            <w:tcW w:w="714" w:type="dxa"/>
            <w:vAlign w:val="center"/>
          </w:tcPr>
          <w:p w14:paraId="268D531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m3/产品单位</w:t>
            </w:r>
          </w:p>
        </w:tc>
        <w:tc>
          <w:tcPr>
            <w:tcW w:w="1489" w:type="dxa"/>
            <w:vMerge w:val="restart"/>
            <w:vAlign w:val="center"/>
          </w:tcPr>
          <w:p w14:paraId="7376190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restart"/>
            <w:vAlign w:val="center"/>
          </w:tcPr>
          <w:p w14:paraId="6E6D8CD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8</w:t>
            </w:r>
          </w:p>
        </w:tc>
        <w:tc>
          <w:tcPr>
            <w:tcW w:w="1039" w:type="dxa"/>
            <w:vMerge w:val="restart"/>
            <w:vAlign w:val="center"/>
          </w:tcPr>
          <w:p w14:paraId="006ED74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Merge w:val="restart"/>
            <w:vAlign w:val="center"/>
          </w:tcPr>
          <w:p w14:paraId="4521D104">
            <w:pPr>
              <w:keepNext w:val="0"/>
              <w:keepLines w:val="0"/>
              <w:pageBreakBefore w:val="0"/>
              <w:widowControl w:val="0"/>
              <w:numPr>
                <w:ilvl w:val="0"/>
                <w:numId w:val="3"/>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 xml:space="preserve">指标计算过程表及其附件 </w:t>
            </w:r>
          </w:p>
          <w:p w14:paraId="40DD5C1A">
            <w:pPr>
              <w:keepNext w:val="0"/>
              <w:keepLines w:val="0"/>
              <w:pageBreakBefore w:val="0"/>
              <w:widowControl w:val="0"/>
              <w:numPr>
                <w:ilvl w:val="0"/>
                <w:numId w:val="3"/>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报统计部门《工业产销总值及主要产品产量》（B204-1）、《工业企业用水情况》（205-4表）</w:t>
            </w:r>
          </w:p>
          <w:p w14:paraId="27CF2FB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3、工业用水统计台账</w:t>
            </w:r>
          </w:p>
        </w:tc>
      </w:tr>
      <w:tr w14:paraId="348C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6FE5806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continue"/>
            <w:vAlign w:val="center"/>
          </w:tcPr>
          <w:p w14:paraId="04FFA28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48" w:type="dxa"/>
            <w:vMerge w:val="continue"/>
            <w:vAlign w:val="center"/>
          </w:tcPr>
          <w:p w14:paraId="3F41EE4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680" w:type="dxa"/>
            <w:vMerge w:val="continue"/>
            <w:vAlign w:val="center"/>
          </w:tcPr>
          <w:p w14:paraId="290B19A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2163" w:type="dxa"/>
            <w:vAlign w:val="center"/>
          </w:tcPr>
          <w:p w14:paraId="2F1C416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产品一名称</w:t>
            </w:r>
          </w:p>
        </w:tc>
        <w:tc>
          <w:tcPr>
            <w:tcW w:w="658" w:type="dxa"/>
            <w:vMerge w:val="continue"/>
            <w:vAlign w:val="center"/>
          </w:tcPr>
          <w:p w14:paraId="6D48A17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14" w:type="dxa"/>
            <w:vAlign w:val="center"/>
          </w:tcPr>
          <w:p w14:paraId="30F8611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489" w:type="dxa"/>
            <w:vMerge w:val="continue"/>
            <w:vAlign w:val="center"/>
          </w:tcPr>
          <w:p w14:paraId="648E51E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41FBA7B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309716C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Merge w:val="continue"/>
            <w:vAlign w:val="center"/>
          </w:tcPr>
          <w:p w14:paraId="2DD7BBC3">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r>
      <w:tr w14:paraId="6056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0D7EEE2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continue"/>
            <w:vAlign w:val="center"/>
          </w:tcPr>
          <w:p w14:paraId="6C4DCC8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48" w:type="dxa"/>
            <w:vMerge w:val="continue"/>
            <w:vAlign w:val="center"/>
          </w:tcPr>
          <w:p w14:paraId="260430E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680" w:type="dxa"/>
            <w:vMerge w:val="continue"/>
            <w:vAlign w:val="center"/>
          </w:tcPr>
          <w:p w14:paraId="6008B35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2163" w:type="dxa"/>
            <w:vAlign w:val="center"/>
          </w:tcPr>
          <w:p w14:paraId="24543BD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产品二名称</w:t>
            </w:r>
          </w:p>
        </w:tc>
        <w:tc>
          <w:tcPr>
            <w:tcW w:w="658" w:type="dxa"/>
            <w:vMerge w:val="continue"/>
            <w:vAlign w:val="center"/>
          </w:tcPr>
          <w:p w14:paraId="03243D6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14" w:type="dxa"/>
            <w:vAlign w:val="center"/>
          </w:tcPr>
          <w:p w14:paraId="7CDEA7F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489" w:type="dxa"/>
            <w:vMerge w:val="continue"/>
            <w:vAlign w:val="center"/>
          </w:tcPr>
          <w:p w14:paraId="7269AAA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705FADC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39F51D9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Merge w:val="continue"/>
            <w:vAlign w:val="center"/>
          </w:tcPr>
          <w:p w14:paraId="2D4DC797">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r>
      <w:tr w14:paraId="2D02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484622F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continue"/>
            <w:vAlign w:val="center"/>
          </w:tcPr>
          <w:p w14:paraId="373BD0E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48" w:type="dxa"/>
            <w:vMerge w:val="continue"/>
            <w:vAlign w:val="center"/>
          </w:tcPr>
          <w:p w14:paraId="35A26B7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680" w:type="dxa"/>
            <w:vMerge w:val="continue"/>
            <w:vAlign w:val="center"/>
          </w:tcPr>
          <w:p w14:paraId="2321A41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2163" w:type="dxa"/>
            <w:vAlign w:val="center"/>
          </w:tcPr>
          <w:p w14:paraId="19440B3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产品三名称</w:t>
            </w:r>
          </w:p>
        </w:tc>
        <w:tc>
          <w:tcPr>
            <w:tcW w:w="658" w:type="dxa"/>
            <w:vMerge w:val="continue"/>
            <w:vAlign w:val="center"/>
          </w:tcPr>
          <w:p w14:paraId="6D117B2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14" w:type="dxa"/>
            <w:vAlign w:val="center"/>
          </w:tcPr>
          <w:p w14:paraId="6E2F643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489" w:type="dxa"/>
            <w:vMerge w:val="continue"/>
            <w:vAlign w:val="center"/>
          </w:tcPr>
          <w:p w14:paraId="0BC0652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58DBDD7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109BB63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Merge w:val="continue"/>
            <w:vAlign w:val="center"/>
          </w:tcPr>
          <w:p w14:paraId="5475AC5D">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r>
      <w:tr w14:paraId="2488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6760298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continue"/>
            <w:vAlign w:val="center"/>
          </w:tcPr>
          <w:p w14:paraId="2A2E0CC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48" w:type="dxa"/>
            <w:vMerge w:val="continue"/>
            <w:vAlign w:val="center"/>
          </w:tcPr>
          <w:p w14:paraId="400B7F1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680" w:type="dxa"/>
            <w:vMerge w:val="continue"/>
            <w:vAlign w:val="center"/>
          </w:tcPr>
          <w:p w14:paraId="1DC520D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2163" w:type="dxa"/>
            <w:vAlign w:val="center"/>
          </w:tcPr>
          <w:p w14:paraId="756811A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单位产值取水量 （无适用工业用水定额国家标准时选用）</w:t>
            </w:r>
          </w:p>
        </w:tc>
        <w:tc>
          <w:tcPr>
            <w:tcW w:w="658" w:type="dxa"/>
            <w:vAlign w:val="center"/>
          </w:tcPr>
          <w:p w14:paraId="7411C14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逆向定量</w:t>
            </w:r>
          </w:p>
        </w:tc>
        <w:tc>
          <w:tcPr>
            <w:tcW w:w="714" w:type="dxa"/>
            <w:vAlign w:val="center"/>
          </w:tcPr>
          <w:p w14:paraId="346D272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m3/万元</w:t>
            </w:r>
          </w:p>
        </w:tc>
        <w:tc>
          <w:tcPr>
            <w:tcW w:w="1489" w:type="dxa"/>
            <w:vAlign w:val="center"/>
          </w:tcPr>
          <w:p w14:paraId="68F661C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27B95D6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0BE46D0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Merge w:val="continue"/>
            <w:vAlign w:val="center"/>
          </w:tcPr>
          <w:p w14:paraId="51592234">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r>
      <w:tr w14:paraId="2810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621751E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Align w:val="center"/>
          </w:tcPr>
          <w:p w14:paraId="3124D3D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7</w:t>
            </w:r>
          </w:p>
        </w:tc>
        <w:tc>
          <w:tcPr>
            <w:tcW w:w="4591" w:type="dxa"/>
            <w:gridSpan w:val="3"/>
            <w:vAlign w:val="center"/>
          </w:tcPr>
          <w:p w14:paraId="19BB263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工业用水重复利用率</w:t>
            </w:r>
          </w:p>
        </w:tc>
        <w:tc>
          <w:tcPr>
            <w:tcW w:w="658" w:type="dxa"/>
            <w:vAlign w:val="center"/>
          </w:tcPr>
          <w:p w14:paraId="2E0D63E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正向定量</w:t>
            </w:r>
          </w:p>
        </w:tc>
        <w:tc>
          <w:tcPr>
            <w:tcW w:w="714" w:type="dxa"/>
            <w:vAlign w:val="center"/>
          </w:tcPr>
          <w:p w14:paraId="000D825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489" w:type="dxa"/>
            <w:vAlign w:val="center"/>
          </w:tcPr>
          <w:p w14:paraId="6E11C40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Align w:val="center"/>
          </w:tcPr>
          <w:p w14:paraId="109F6EE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8</w:t>
            </w:r>
          </w:p>
        </w:tc>
        <w:tc>
          <w:tcPr>
            <w:tcW w:w="1039" w:type="dxa"/>
            <w:vAlign w:val="center"/>
          </w:tcPr>
          <w:p w14:paraId="638522F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7562D85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 xml:space="preserve">1、指标计算过程表及其附件 </w:t>
            </w:r>
          </w:p>
          <w:p w14:paraId="5823EF4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 xml:space="preserve">2、报统计部门《工业企业用水情况》（205-4表） </w:t>
            </w:r>
          </w:p>
          <w:p w14:paraId="3C21B79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3、重复用水量证明，例如循环水量、串联水量、废水处理回用水量等计量或记录台账</w:t>
            </w:r>
          </w:p>
          <w:p w14:paraId="3E43CD1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4、重复用水设施、关键区域现场实景照片</w:t>
            </w:r>
          </w:p>
        </w:tc>
      </w:tr>
      <w:tr w14:paraId="1987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22E638D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Align w:val="center"/>
          </w:tcPr>
          <w:p w14:paraId="304BD64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8</w:t>
            </w:r>
          </w:p>
        </w:tc>
        <w:tc>
          <w:tcPr>
            <w:tcW w:w="4591" w:type="dxa"/>
            <w:gridSpan w:val="3"/>
            <w:vAlign w:val="center"/>
          </w:tcPr>
          <w:p w14:paraId="1C88BBE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一般工业固体废物综合利用率</w:t>
            </w:r>
          </w:p>
        </w:tc>
        <w:tc>
          <w:tcPr>
            <w:tcW w:w="658" w:type="dxa"/>
            <w:vAlign w:val="center"/>
          </w:tcPr>
          <w:p w14:paraId="6E8DB89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正向定量</w:t>
            </w:r>
          </w:p>
        </w:tc>
        <w:tc>
          <w:tcPr>
            <w:tcW w:w="714" w:type="dxa"/>
            <w:vAlign w:val="center"/>
          </w:tcPr>
          <w:p w14:paraId="3720BA9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489" w:type="dxa"/>
            <w:vAlign w:val="center"/>
          </w:tcPr>
          <w:p w14:paraId="1D3805B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Align w:val="center"/>
          </w:tcPr>
          <w:p w14:paraId="7003637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6</w:t>
            </w:r>
          </w:p>
        </w:tc>
        <w:tc>
          <w:tcPr>
            <w:tcW w:w="1039" w:type="dxa"/>
            <w:vAlign w:val="center"/>
          </w:tcPr>
          <w:p w14:paraId="798DCE0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24FE6CC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1、指标计算过程表及其附件</w:t>
            </w:r>
          </w:p>
          <w:p w14:paraId="1C6290E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2、一般工业固体废物统计台账，包含年度产生量、综合利用量、综合利用往年贮存量等指标计算关键参数信息</w:t>
            </w:r>
          </w:p>
          <w:p w14:paraId="306A429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3、报生态环境部门《工业企业污染物和温室气体排放及治理情况》（基101表）（如有）</w:t>
            </w:r>
          </w:p>
          <w:p w14:paraId="4D1720B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4、综合利用证明，例如资源化技术方案、工艺流程图等自行利用说明；委外综合利用协议及综合利用单位资质证明、转移量确认单或相关凭证</w:t>
            </w:r>
          </w:p>
        </w:tc>
      </w:tr>
      <w:tr w14:paraId="33C3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restart"/>
            <w:vAlign w:val="center"/>
          </w:tcPr>
          <w:p w14:paraId="7957DD2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生产洁净化（20%）</w:t>
            </w:r>
          </w:p>
        </w:tc>
        <w:tc>
          <w:tcPr>
            <w:tcW w:w="394" w:type="dxa"/>
            <w:vAlign w:val="center"/>
          </w:tcPr>
          <w:p w14:paraId="5B4E08C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9</w:t>
            </w:r>
          </w:p>
        </w:tc>
        <w:tc>
          <w:tcPr>
            <w:tcW w:w="748" w:type="dxa"/>
            <w:vAlign w:val="center"/>
          </w:tcPr>
          <w:p w14:paraId="639BF79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生产工艺设备先进性</w:t>
            </w:r>
          </w:p>
        </w:tc>
        <w:tc>
          <w:tcPr>
            <w:tcW w:w="3843" w:type="dxa"/>
            <w:gridSpan w:val="2"/>
            <w:vAlign w:val="center"/>
          </w:tcPr>
          <w:p w14:paraId="32C1C805">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采用《国家工业和信息化领域节能降碳技术装备推荐目录》《国家鼓励的工业节水工艺、技术和装备目录》《国家工业资源综合利用先进适用工艺技术设备目录》《国家鼓励发展的重大环保技术装备目录》《绿色技术推广目录》《国家重点推广的低碳技术目录》《国家污染防治技术指导目录》《产业结构调整指导目录》范围内的先进技术和设备的数量</w:t>
            </w:r>
          </w:p>
        </w:tc>
        <w:tc>
          <w:tcPr>
            <w:tcW w:w="658" w:type="dxa"/>
            <w:vAlign w:val="center"/>
          </w:tcPr>
          <w:p w14:paraId="4AE6935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正向定量</w:t>
            </w:r>
          </w:p>
        </w:tc>
        <w:tc>
          <w:tcPr>
            <w:tcW w:w="714" w:type="dxa"/>
            <w:vAlign w:val="center"/>
          </w:tcPr>
          <w:p w14:paraId="14A8023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项</w:t>
            </w:r>
          </w:p>
        </w:tc>
        <w:tc>
          <w:tcPr>
            <w:tcW w:w="1489" w:type="dxa"/>
            <w:vAlign w:val="center"/>
          </w:tcPr>
          <w:p w14:paraId="1ED8671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Align w:val="center"/>
          </w:tcPr>
          <w:p w14:paraId="5E57F92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6</w:t>
            </w:r>
          </w:p>
        </w:tc>
        <w:tc>
          <w:tcPr>
            <w:tcW w:w="1039" w:type="dxa"/>
            <w:vAlign w:val="center"/>
          </w:tcPr>
          <w:p w14:paraId="7797335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4073E4F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采用相关生产工艺和设备的说明</w:t>
            </w:r>
          </w:p>
        </w:tc>
      </w:tr>
      <w:tr w14:paraId="7C5C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929" w:type="dxa"/>
            <w:vMerge w:val="continue"/>
            <w:vAlign w:val="center"/>
          </w:tcPr>
          <w:p w14:paraId="231A560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Align w:val="center"/>
          </w:tcPr>
          <w:p w14:paraId="7D71E2F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10</w:t>
            </w:r>
          </w:p>
        </w:tc>
        <w:tc>
          <w:tcPr>
            <w:tcW w:w="748" w:type="dxa"/>
            <w:vAlign w:val="center"/>
          </w:tcPr>
          <w:p w14:paraId="3A700EB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绿色低碳改造升级</w:t>
            </w:r>
          </w:p>
        </w:tc>
        <w:tc>
          <w:tcPr>
            <w:tcW w:w="3843" w:type="dxa"/>
            <w:gridSpan w:val="2"/>
            <w:vAlign w:val="center"/>
          </w:tcPr>
          <w:p w14:paraId="271FB92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近3年绿色低碳改造升级项目投资额占比</w:t>
            </w:r>
          </w:p>
        </w:tc>
        <w:tc>
          <w:tcPr>
            <w:tcW w:w="658" w:type="dxa"/>
            <w:vAlign w:val="center"/>
          </w:tcPr>
          <w:p w14:paraId="2B9906C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正向定量</w:t>
            </w:r>
          </w:p>
        </w:tc>
        <w:tc>
          <w:tcPr>
            <w:tcW w:w="714" w:type="dxa"/>
            <w:vAlign w:val="center"/>
          </w:tcPr>
          <w:p w14:paraId="000651F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489" w:type="dxa"/>
            <w:vAlign w:val="center"/>
          </w:tcPr>
          <w:p w14:paraId="13EB736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Align w:val="center"/>
          </w:tcPr>
          <w:p w14:paraId="373B14F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8</w:t>
            </w:r>
          </w:p>
        </w:tc>
        <w:tc>
          <w:tcPr>
            <w:tcW w:w="1039" w:type="dxa"/>
            <w:vAlign w:val="center"/>
          </w:tcPr>
          <w:p w14:paraId="7230F99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440AAED7">
            <w:pPr>
              <w:keepNext w:val="0"/>
              <w:keepLines w:val="0"/>
              <w:pageBreakBefore w:val="0"/>
              <w:widowControl w:val="0"/>
              <w:numPr>
                <w:ilvl w:val="0"/>
                <w:numId w:val="4"/>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指标计算过程表及其附件</w:t>
            </w:r>
          </w:p>
          <w:p w14:paraId="588339B5">
            <w:pPr>
              <w:keepNext w:val="0"/>
              <w:keepLines w:val="0"/>
              <w:pageBreakBefore w:val="0"/>
              <w:widowControl w:val="0"/>
              <w:numPr>
                <w:ilvl w:val="0"/>
                <w:numId w:val="4"/>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近三年绿色低碳改造升级项目清单（按项目完成时间在近三年计）</w:t>
            </w:r>
          </w:p>
          <w:p w14:paraId="6E03F034">
            <w:pPr>
              <w:keepNext w:val="0"/>
              <w:keepLines w:val="0"/>
              <w:pageBreakBefore w:val="0"/>
              <w:widowControl w:val="0"/>
              <w:numPr>
                <w:ilvl w:val="0"/>
                <w:numId w:val="4"/>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项目投资证明，例如项目合同、验收材料、支付凭证、专项审计报告等</w:t>
            </w:r>
          </w:p>
          <w:p w14:paraId="4E73DD9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4、报统计部门《工业产销总值及主要产品产量》（B204-1）</w:t>
            </w:r>
          </w:p>
        </w:tc>
      </w:tr>
      <w:tr w14:paraId="720C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22CD31D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restart"/>
            <w:vAlign w:val="center"/>
          </w:tcPr>
          <w:p w14:paraId="4EAA45C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11</w:t>
            </w:r>
          </w:p>
        </w:tc>
        <w:tc>
          <w:tcPr>
            <w:tcW w:w="748" w:type="dxa"/>
            <w:vMerge w:val="restart"/>
            <w:vAlign w:val="center"/>
          </w:tcPr>
          <w:p w14:paraId="0D170FE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主要污染物年均排放浓度</w:t>
            </w:r>
          </w:p>
        </w:tc>
        <w:tc>
          <w:tcPr>
            <w:tcW w:w="3843" w:type="dxa"/>
            <w:gridSpan w:val="2"/>
            <w:vAlign w:val="center"/>
          </w:tcPr>
          <w:p w14:paraId="16BAB52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废水主要污染物年均排放浓度优于许可排放浓度限值的最低比例（不涉及工业废水排放的企业不填）</w:t>
            </w:r>
          </w:p>
        </w:tc>
        <w:tc>
          <w:tcPr>
            <w:tcW w:w="658" w:type="dxa"/>
            <w:vAlign w:val="center"/>
          </w:tcPr>
          <w:p w14:paraId="7B9C8ED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正向定量</w:t>
            </w:r>
          </w:p>
        </w:tc>
        <w:tc>
          <w:tcPr>
            <w:tcW w:w="714" w:type="dxa"/>
            <w:vAlign w:val="center"/>
          </w:tcPr>
          <w:p w14:paraId="0E22D54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489" w:type="dxa"/>
            <w:vAlign w:val="center"/>
          </w:tcPr>
          <w:p w14:paraId="6EFAF86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restart"/>
            <w:vAlign w:val="center"/>
          </w:tcPr>
          <w:p w14:paraId="76D853C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6</w:t>
            </w:r>
          </w:p>
        </w:tc>
        <w:tc>
          <w:tcPr>
            <w:tcW w:w="1039" w:type="dxa"/>
            <w:vMerge w:val="restart"/>
            <w:vAlign w:val="center"/>
          </w:tcPr>
          <w:p w14:paraId="7B77CB1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Merge w:val="restart"/>
            <w:vAlign w:val="center"/>
          </w:tcPr>
          <w:p w14:paraId="25FAEFFC">
            <w:pPr>
              <w:keepNext w:val="0"/>
              <w:keepLines w:val="0"/>
              <w:pageBreakBefore w:val="0"/>
              <w:widowControl w:val="0"/>
              <w:numPr>
                <w:ilvl w:val="0"/>
                <w:numId w:val="5"/>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指标计算过程表及其附件</w:t>
            </w:r>
          </w:p>
          <w:p w14:paraId="165422F4">
            <w:pPr>
              <w:keepNext w:val="0"/>
              <w:keepLines w:val="0"/>
              <w:pageBreakBefore w:val="0"/>
              <w:widowControl w:val="0"/>
              <w:numPr>
                <w:ilvl w:val="0"/>
                <w:numId w:val="5"/>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排污许可相关文件，例如排污许可证正本、副本，排污登记表</w:t>
            </w:r>
          </w:p>
          <w:p w14:paraId="49AA087A">
            <w:pPr>
              <w:keepNext w:val="0"/>
              <w:keepLines w:val="0"/>
              <w:pageBreakBefore w:val="0"/>
              <w:widowControl w:val="0"/>
              <w:numPr>
                <w:ilvl w:val="0"/>
                <w:numId w:val="5"/>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排污许可证执行报告年报（如有）</w:t>
            </w:r>
          </w:p>
          <w:p w14:paraId="269C337B">
            <w:pPr>
              <w:keepNext w:val="0"/>
              <w:keepLines w:val="0"/>
              <w:pageBreakBefore w:val="0"/>
              <w:widowControl w:val="0"/>
              <w:numPr>
                <w:ilvl w:val="0"/>
                <w:numId w:val="5"/>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报生态环境部门《工业企业污染物和温室气体排放及治理情况》（基101表）（如有）</w:t>
            </w:r>
          </w:p>
          <w:p w14:paraId="1588A98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5、污染物在线监测记录（包含年均排放浓度数据），如不能提供，请提交环境检测报告（原则上应保证全年监测频次不低于每季度1次，季节性生产单位应保证在生产期内监测次数不少于4次或不低于每月1次）</w:t>
            </w:r>
          </w:p>
          <w:p w14:paraId="428B131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6、污染物治理措施说明</w:t>
            </w:r>
          </w:p>
        </w:tc>
      </w:tr>
      <w:tr w14:paraId="3483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5554BD6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continue"/>
            <w:vAlign w:val="center"/>
          </w:tcPr>
          <w:p w14:paraId="62D6C8F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48" w:type="dxa"/>
            <w:vMerge w:val="continue"/>
            <w:vAlign w:val="center"/>
          </w:tcPr>
          <w:p w14:paraId="42F691E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843" w:type="dxa"/>
            <w:gridSpan w:val="2"/>
            <w:vAlign w:val="center"/>
          </w:tcPr>
          <w:p w14:paraId="3F7A88D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废气主要污染物年均排放浓度优于许可排放浓度限值的最低比例（不涉及工业废气排放的企业不填）</w:t>
            </w:r>
          </w:p>
        </w:tc>
        <w:tc>
          <w:tcPr>
            <w:tcW w:w="658" w:type="dxa"/>
            <w:vAlign w:val="center"/>
          </w:tcPr>
          <w:p w14:paraId="41B7717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正向定量</w:t>
            </w:r>
          </w:p>
        </w:tc>
        <w:tc>
          <w:tcPr>
            <w:tcW w:w="714" w:type="dxa"/>
            <w:vAlign w:val="center"/>
          </w:tcPr>
          <w:p w14:paraId="6E7CF8E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489" w:type="dxa"/>
            <w:vAlign w:val="center"/>
          </w:tcPr>
          <w:p w14:paraId="191AA17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3FFA1E9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Merge w:val="continue"/>
            <w:vAlign w:val="center"/>
          </w:tcPr>
          <w:p w14:paraId="56B948F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Merge w:val="continue"/>
            <w:vAlign w:val="center"/>
          </w:tcPr>
          <w:p w14:paraId="26319D8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300" w:firstLineChars="20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r>
      <w:tr w14:paraId="5356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restart"/>
            <w:vAlign w:val="center"/>
          </w:tcPr>
          <w:p w14:paraId="65302EC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产品绿色化（14%）</w:t>
            </w:r>
          </w:p>
        </w:tc>
        <w:tc>
          <w:tcPr>
            <w:tcW w:w="394" w:type="dxa"/>
            <w:vAlign w:val="center"/>
          </w:tcPr>
          <w:p w14:paraId="7012C47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12</w:t>
            </w:r>
          </w:p>
        </w:tc>
        <w:tc>
          <w:tcPr>
            <w:tcW w:w="748" w:type="dxa"/>
            <w:vAlign w:val="center"/>
          </w:tcPr>
          <w:p w14:paraId="2668782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绿色设计</w:t>
            </w:r>
          </w:p>
        </w:tc>
        <w:tc>
          <w:tcPr>
            <w:tcW w:w="3843" w:type="dxa"/>
            <w:gridSpan w:val="2"/>
            <w:vAlign w:val="center"/>
          </w:tcPr>
          <w:p w14:paraId="658C107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绿色设计典型应用案例</w:t>
            </w:r>
          </w:p>
        </w:tc>
        <w:tc>
          <w:tcPr>
            <w:tcW w:w="658" w:type="dxa"/>
            <w:vAlign w:val="center"/>
          </w:tcPr>
          <w:p w14:paraId="4017B22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正向定性</w:t>
            </w:r>
          </w:p>
        </w:tc>
        <w:tc>
          <w:tcPr>
            <w:tcW w:w="714" w:type="dxa"/>
            <w:vAlign w:val="center"/>
          </w:tcPr>
          <w:p w14:paraId="33A04A1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489" w:type="dxa"/>
            <w:vAlign w:val="center"/>
          </w:tcPr>
          <w:p w14:paraId="3A7F799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Align w:val="center"/>
          </w:tcPr>
          <w:p w14:paraId="5A5B586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6</w:t>
            </w:r>
          </w:p>
        </w:tc>
        <w:tc>
          <w:tcPr>
            <w:tcW w:w="1039" w:type="dxa"/>
            <w:vAlign w:val="center"/>
          </w:tcPr>
          <w:p w14:paraId="2DF857D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2A9ED052">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绿色设计典型应用案例（围绕轻量化、无害化、长寿命、节能、易回收、可拆解、易再生等方面提供绿色设计典型应用案例，全面展示企业研发人员在设计环节运用绿色设计理念开展绿色设计）</w:t>
            </w:r>
          </w:p>
        </w:tc>
      </w:tr>
      <w:tr w14:paraId="4F72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0CDB303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Align w:val="center"/>
          </w:tcPr>
          <w:p w14:paraId="169C4C8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13</w:t>
            </w:r>
          </w:p>
        </w:tc>
        <w:tc>
          <w:tcPr>
            <w:tcW w:w="748" w:type="dxa"/>
            <w:vAlign w:val="center"/>
          </w:tcPr>
          <w:p w14:paraId="0E9E8F1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产品碳足迹</w:t>
            </w:r>
          </w:p>
        </w:tc>
        <w:tc>
          <w:tcPr>
            <w:tcW w:w="3843" w:type="dxa"/>
            <w:gridSpan w:val="2"/>
            <w:vAlign w:val="center"/>
          </w:tcPr>
          <w:p w14:paraId="537B5F6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开展碳足迹核算产品类别占比</w:t>
            </w:r>
          </w:p>
        </w:tc>
        <w:tc>
          <w:tcPr>
            <w:tcW w:w="658" w:type="dxa"/>
            <w:vAlign w:val="center"/>
          </w:tcPr>
          <w:p w14:paraId="406F2C8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正向定量</w:t>
            </w:r>
          </w:p>
        </w:tc>
        <w:tc>
          <w:tcPr>
            <w:tcW w:w="714" w:type="dxa"/>
            <w:vAlign w:val="center"/>
          </w:tcPr>
          <w:p w14:paraId="429F8A1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489" w:type="dxa"/>
            <w:vAlign w:val="center"/>
          </w:tcPr>
          <w:p w14:paraId="76AC95F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Align w:val="center"/>
          </w:tcPr>
          <w:p w14:paraId="77DA86D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8</w:t>
            </w:r>
          </w:p>
        </w:tc>
        <w:tc>
          <w:tcPr>
            <w:tcW w:w="1039" w:type="dxa"/>
            <w:vAlign w:val="center"/>
          </w:tcPr>
          <w:p w14:paraId="0515451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3E913152">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1、指标计算过程表及其附件</w:t>
            </w:r>
          </w:p>
          <w:p w14:paraId="4115B601">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2、报统计部门《工业产销总值及主要产品产量》（B204-1）</w:t>
            </w:r>
          </w:p>
          <w:p w14:paraId="56AA50F2">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3、提供评价年相关产品碳足迹报告(参考GB/T 24067等相关依据标准给出的报告模板)</w:t>
            </w:r>
          </w:p>
        </w:tc>
      </w:tr>
      <w:tr w14:paraId="7395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restart"/>
            <w:vAlign w:val="center"/>
          </w:tcPr>
          <w:p w14:paraId="36AC626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用地集约化（6%）</w:t>
            </w:r>
          </w:p>
        </w:tc>
        <w:tc>
          <w:tcPr>
            <w:tcW w:w="394" w:type="dxa"/>
            <w:vMerge w:val="restart"/>
            <w:vAlign w:val="center"/>
          </w:tcPr>
          <w:p w14:paraId="6B91453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14</w:t>
            </w:r>
          </w:p>
        </w:tc>
        <w:tc>
          <w:tcPr>
            <w:tcW w:w="748" w:type="dxa"/>
            <w:vMerge w:val="restart"/>
            <w:vAlign w:val="center"/>
          </w:tcPr>
          <w:p w14:paraId="244CF19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土地产出率</w:t>
            </w:r>
          </w:p>
        </w:tc>
        <w:tc>
          <w:tcPr>
            <w:tcW w:w="3843" w:type="dxa"/>
            <w:gridSpan w:val="2"/>
            <w:vAlign w:val="center"/>
          </w:tcPr>
          <w:p w14:paraId="6F04DFB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单位用地面积产值</w:t>
            </w:r>
          </w:p>
        </w:tc>
        <w:tc>
          <w:tcPr>
            <w:tcW w:w="658" w:type="dxa"/>
            <w:vAlign w:val="center"/>
          </w:tcPr>
          <w:p w14:paraId="2670505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正向定量</w:t>
            </w:r>
          </w:p>
        </w:tc>
        <w:tc>
          <w:tcPr>
            <w:tcW w:w="714" w:type="dxa"/>
            <w:vAlign w:val="center"/>
          </w:tcPr>
          <w:p w14:paraId="15E1061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万元/m2</w:t>
            </w:r>
          </w:p>
        </w:tc>
        <w:tc>
          <w:tcPr>
            <w:tcW w:w="1489" w:type="dxa"/>
            <w:vAlign w:val="center"/>
          </w:tcPr>
          <w:p w14:paraId="2F9795B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Align w:val="center"/>
          </w:tcPr>
          <w:p w14:paraId="0BD13D5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2</w:t>
            </w:r>
          </w:p>
        </w:tc>
        <w:tc>
          <w:tcPr>
            <w:tcW w:w="1039" w:type="dxa"/>
            <w:vAlign w:val="center"/>
          </w:tcPr>
          <w:p w14:paraId="7898B77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47E54FBB">
            <w:pPr>
              <w:keepNext w:val="0"/>
              <w:keepLines w:val="0"/>
              <w:pageBreakBefore w:val="0"/>
              <w:widowControl w:val="0"/>
              <w:numPr>
                <w:ilvl w:val="0"/>
                <w:numId w:val="6"/>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指标计算过程表及其附件</w:t>
            </w:r>
          </w:p>
          <w:p w14:paraId="5BD24DA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2、报统计部门《工业产销总值及主要产品产量》（B204-1）</w:t>
            </w:r>
          </w:p>
        </w:tc>
      </w:tr>
      <w:tr w14:paraId="4EA3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59EEFB4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continue"/>
            <w:vAlign w:val="center"/>
          </w:tcPr>
          <w:p w14:paraId="048AFC3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48" w:type="dxa"/>
            <w:vMerge w:val="continue"/>
            <w:vAlign w:val="center"/>
          </w:tcPr>
          <w:p w14:paraId="0FE9471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843" w:type="dxa"/>
            <w:gridSpan w:val="2"/>
            <w:vAlign w:val="center"/>
          </w:tcPr>
          <w:p w14:paraId="7CDFD1C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建筑系数</w:t>
            </w:r>
          </w:p>
        </w:tc>
        <w:tc>
          <w:tcPr>
            <w:tcW w:w="658" w:type="dxa"/>
            <w:vAlign w:val="center"/>
          </w:tcPr>
          <w:p w14:paraId="4B281B2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正向定量</w:t>
            </w:r>
          </w:p>
        </w:tc>
        <w:tc>
          <w:tcPr>
            <w:tcW w:w="714" w:type="dxa"/>
            <w:vAlign w:val="center"/>
          </w:tcPr>
          <w:p w14:paraId="31B3991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489" w:type="dxa"/>
            <w:vAlign w:val="center"/>
          </w:tcPr>
          <w:p w14:paraId="4B22353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Align w:val="center"/>
          </w:tcPr>
          <w:p w14:paraId="5B126F6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2</w:t>
            </w:r>
          </w:p>
        </w:tc>
        <w:tc>
          <w:tcPr>
            <w:tcW w:w="1039" w:type="dxa"/>
            <w:vAlign w:val="center"/>
          </w:tcPr>
          <w:p w14:paraId="08DBA8C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6DCF0602">
            <w:pPr>
              <w:keepNext w:val="0"/>
              <w:keepLines w:val="0"/>
              <w:pageBreakBefore w:val="0"/>
              <w:widowControl w:val="0"/>
              <w:numPr>
                <w:ilvl w:val="0"/>
                <w:numId w:val="7"/>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指标计算过程表及其附件</w:t>
            </w:r>
          </w:p>
          <w:p w14:paraId="6C148340">
            <w:pPr>
              <w:keepNext w:val="0"/>
              <w:keepLines w:val="0"/>
              <w:pageBreakBefore w:val="0"/>
              <w:widowControl w:val="0"/>
              <w:numPr>
                <w:ilvl w:val="0"/>
                <w:numId w:val="7"/>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项目建设工程规划许可证及附图</w:t>
            </w:r>
          </w:p>
          <w:p w14:paraId="60B86AD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3、厂区总平面图</w:t>
            </w:r>
          </w:p>
        </w:tc>
      </w:tr>
      <w:tr w14:paraId="2A20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Merge w:val="continue"/>
            <w:vAlign w:val="center"/>
          </w:tcPr>
          <w:p w14:paraId="6918A2C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94" w:type="dxa"/>
            <w:vMerge w:val="continue"/>
            <w:vAlign w:val="center"/>
          </w:tcPr>
          <w:p w14:paraId="33B59E5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748" w:type="dxa"/>
            <w:vMerge w:val="continue"/>
            <w:vAlign w:val="center"/>
          </w:tcPr>
          <w:p w14:paraId="3EA95D3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843" w:type="dxa"/>
            <w:gridSpan w:val="2"/>
            <w:vAlign w:val="center"/>
          </w:tcPr>
          <w:p w14:paraId="53ED0A0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容积率</w:t>
            </w:r>
          </w:p>
        </w:tc>
        <w:tc>
          <w:tcPr>
            <w:tcW w:w="658" w:type="dxa"/>
            <w:vAlign w:val="center"/>
          </w:tcPr>
          <w:p w14:paraId="4A9D14E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正向定量</w:t>
            </w:r>
          </w:p>
        </w:tc>
        <w:tc>
          <w:tcPr>
            <w:tcW w:w="714" w:type="dxa"/>
            <w:vAlign w:val="center"/>
          </w:tcPr>
          <w:p w14:paraId="3BCE5FA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w:t>
            </w:r>
          </w:p>
        </w:tc>
        <w:tc>
          <w:tcPr>
            <w:tcW w:w="1489" w:type="dxa"/>
            <w:vAlign w:val="center"/>
          </w:tcPr>
          <w:p w14:paraId="3B51247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1039" w:type="dxa"/>
            <w:vAlign w:val="center"/>
          </w:tcPr>
          <w:p w14:paraId="3B1333F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2</w:t>
            </w:r>
          </w:p>
        </w:tc>
        <w:tc>
          <w:tcPr>
            <w:tcW w:w="1039" w:type="dxa"/>
            <w:vAlign w:val="center"/>
          </w:tcPr>
          <w:p w14:paraId="598729D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tc>
        <w:tc>
          <w:tcPr>
            <w:tcW w:w="3688" w:type="dxa"/>
            <w:vAlign w:val="center"/>
          </w:tcPr>
          <w:p w14:paraId="3B674EDA">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r>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t>指标计算过程表及其附件</w:t>
            </w:r>
          </w:p>
        </w:tc>
      </w:tr>
    </w:tbl>
    <w:p w14:paraId="004F4EED">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p w14:paraId="5C86B081">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15"/>
          <w:szCs w:val="15"/>
          <w:u w:val="none"/>
          <w:shd w:val="clear" w:color="auto" w:fill="FFFFFF"/>
          <w:vertAlign w:val="baseline"/>
          <w:lang w:val="en-US" w:eastAsia="zh-CN" w:bidi="ar-SA"/>
        </w:rPr>
      </w:pPr>
    </w:p>
    <w:p w14:paraId="7280CFCE">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pPr>
      <w:r>
        <w:rPr>
          <w:rFonts w:hint="default" w:ascii="Times New Roman" w:hAnsi="Times New Roman" w:eastAsia="仿宋_GB2312" w:cs="Times New Roman"/>
          <w:color w:val="000000"/>
          <w:kern w:val="2"/>
          <w:sz w:val="24"/>
          <w:szCs w:val="24"/>
          <w:u w:val="none"/>
          <w:shd w:val="clear" w:color="auto" w:fill="FFFFFF"/>
          <w:vertAlign w:val="baseline"/>
          <w:lang w:val="en-US" w:eastAsia="zh-CN" w:bidi="ar-SA"/>
        </w:rPr>
        <w:t>注：市工业和信息化局对申报单位第1、2、3、5、6、7、8、10、11、14项二级指标评价由行业专家依据相关指标与其行业先进水平对标情况进行赋分，申报单位自评价或第三方机构评价可参照执行。</w:t>
      </w:r>
    </w:p>
    <w:p w14:paraId="2A2320F0">
      <w:pPr>
        <w:widowControl w:val="0"/>
        <w:autoSpaceDE w:val="0"/>
        <w:autoSpaceDN w:val="0"/>
        <w:adjustRightInd w:val="0"/>
        <w:spacing w:line="600" w:lineRule="exact"/>
        <w:ind w:firstLine="880" w:firstLineChars="200"/>
        <w:rPr>
          <w:rFonts w:hint="default" w:ascii="Times New Roman" w:hAnsi="Times New Roman" w:eastAsia="方正小标宋简体" w:cs="Times New Roman"/>
          <w:color w:val="000000"/>
          <w:sz w:val="44"/>
          <w:szCs w:val="44"/>
          <w:lang w:val="en-US" w:eastAsia="zh-CN" w:bidi="ar-SA"/>
        </w:rPr>
      </w:pPr>
    </w:p>
    <w:p w14:paraId="64352C60">
      <w:pPr>
        <w:pStyle w:val="2"/>
        <w:rPr>
          <w:rFonts w:hint="default" w:ascii="Times New Roman" w:hAnsi="Times New Roman" w:cs="Times New Roman"/>
          <w:color w:val="000000"/>
          <w:sz w:val="32"/>
          <w:szCs w:val="32"/>
          <w:u w:val="none"/>
          <w:shd w:val="clear" w:color="auto" w:fill="FFFFFF"/>
          <w:lang w:val="en-US" w:eastAsia="zh-CN"/>
        </w:rPr>
        <w:sectPr>
          <w:pgSz w:w="16838" w:h="11906" w:orient="landscape"/>
          <w:pgMar w:top="1587" w:right="2098" w:bottom="1474" w:left="1814" w:header="851" w:footer="992" w:gutter="0"/>
          <w:pgNumType w:fmt="decimal"/>
          <w:cols w:space="425" w:num="1"/>
          <w:docGrid w:type="lines" w:linePitch="312" w:charSpace="0"/>
        </w:sectPr>
      </w:pPr>
    </w:p>
    <w:p w14:paraId="227DF3F8">
      <w:pPr>
        <w:pStyle w:val="2"/>
        <w:ind w:left="0" w:leftChars="0" w:firstLine="0" w:firstLineChars="0"/>
        <w:rPr>
          <w:rFonts w:hint="default"/>
        </w:rPr>
      </w:pPr>
    </w:p>
    <w:sectPr>
      <w:footerReference r:id="rId4" w:type="default"/>
      <w:pgSz w:w="11906" w:h="16838"/>
      <w:pgMar w:top="2098" w:right="1474" w:bottom="1984" w:left="1587" w:header="851" w:footer="992" w:gutter="0"/>
      <w:pgNumType w:fmt="decimal"/>
      <w:cols w:space="0" w:num="1"/>
      <w:formProt w:val="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DC054CC-4262-4EA4-AF9A-9308B6802993}"/>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56BEB14-5293-4D36-A11A-02F1F3F999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4FCC855-1623-4992-89A0-3B672CCEA0CE}"/>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4" w:fontKey="{EDF098E4-A501-4B64-A998-E59D00546C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C4E32">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E94CA">
                          <w:pPr>
                            <w:pStyle w:val="1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EE94CA">
                    <w:pPr>
                      <w:pStyle w:val="1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080DF">
    <w:pPr>
      <w:pStyle w:val="1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6802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68020" cy="1828800"/>
                      </a:xfrm>
                      <a:prstGeom prst="rect">
                        <a:avLst/>
                      </a:prstGeom>
                      <a:noFill/>
                      <a:ln w="6350">
                        <a:noFill/>
                      </a:ln>
                      <a:effectLst/>
                    </wps:spPr>
                    <wps:txbx>
                      <w:txbxContent>
                        <w:p w14:paraId="0C5A3E53">
                          <w:pPr>
                            <w:pStyle w:val="10"/>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2.6pt;mso-position-horizontal:outside;mso-position-horizontal-relative:margin;z-index:251659264;mso-width-relative:page;mso-height-relative:page;" filled="f" stroked="f" coordsize="21600,21600" o:gfxdata="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L082dQAAAAFAQAADwAAAAAAAAABACAAAAAiAAAAZHJzL2Rvd25y&#10;ZXYueG1sUEsBAhQAFAAAAAgAh07iQC6OaXw7AgAAcAQAAA4AAAAAAAAAAQAgAAAAIwEAAGRycy9l&#10;Mm9Eb2MueG1sUEsFBgAAAAAGAAYAWQEAANAFAAAAAA==&#10;">
              <v:fill on="f" focussize="0,0"/>
              <v:stroke on="f" weight="0.5pt"/>
              <v:imagedata o:title=""/>
              <o:lock v:ext="edit" aspectratio="f"/>
              <v:textbox inset="0mm,0mm,0mm,0mm" style="mso-fit-shape-to-text:t;">
                <w:txbxContent>
                  <w:p w14:paraId="0C5A3E53">
                    <w:pPr>
                      <w:pStyle w:val="10"/>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D7AE6"/>
    <w:multiLevelType w:val="singleLevel"/>
    <w:tmpl w:val="806D7AE6"/>
    <w:lvl w:ilvl="0" w:tentative="0">
      <w:start w:val="1"/>
      <w:numFmt w:val="decimal"/>
      <w:suff w:val="nothing"/>
      <w:lvlText w:val="%1、"/>
      <w:lvlJc w:val="left"/>
    </w:lvl>
  </w:abstractNum>
  <w:abstractNum w:abstractNumId="1">
    <w:nsid w:val="860212B6"/>
    <w:multiLevelType w:val="singleLevel"/>
    <w:tmpl w:val="860212B6"/>
    <w:lvl w:ilvl="0" w:tentative="0">
      <w:start w:val="1"/>
      <w:numFmt w:val="decimal"/>
      <w:suff w:val="nothing"/>
      <w:lvlText w:val="%1、"/>
      <w:lvlJc w:val="left"/>
    </w:lvl>
  </w:abstractNum>
  <w:abstractNum w:abstractNumId="2">
    <w:nsid w:val="CC668B3D"/>
    <w:multiLevelType w:val="singleLevel"/>
    <w:tmpl w:val="CC668B3D"/>
    <w:lvl w:ilvl="0" w:tentative="0">
      <w:start w:val="1"/>
      <w:numFmt w:val="decimal"/>
      <w:suff w:val="space"/>
      <w:lvlText w:val="%1."/>
      <w:lvlJc w:val="left"/>
    </w:lvl>
  </w:abstractNum>
  <w:abstractNum w:abstractNumId="3">
    <w:nsid w:val="F55EBBDD"/>
    <w:multiLevelType w:val="singleLevel"/>
    <w:tmpl w:val="F55EBBDD"/>
    <w:lvl w:ilvl="0" w:tentative="0">
      <w:start w:val="1"/>
      <w:numFmt w:val="decimal"/>
      <w:suff w:val="nothing"/>
      <w:lvlText w:val="%1、"/>
      <w:lvlJc w:val="left"/>
    </w:lvl>
  </w:abstractNum>
  <w:abstractNum w:abstractNumId="4">
    <w:nsid w:val="1088BC50"/>
    <w:multiLevelType w:val="singleLevel"/>
    <w:tmpl w:val="1088BC50"/>
    <w:lvl w:ilvl="0" w:tentative="0">
      <w:start w:val="1"/>
      <w:numFmt w:val="decimal"/>
      <w:suff w:val="nothing"/>
      <w:lvlText w:val="%1、"/>
      <w:lvlJc w:val="left"/>
    </w:lvl>
  </w:abstractNum>
  <w:abstractNum w:abstractNumId="5">
    <w:nsid w:val="1997B8F3"/>
    <w:multiLevelType w:val="singleLevel"/>
    <w:tmpl w:val="1997B8F3"/>
    <w:lvl w:ilvl="0" w:tentative="0">
      <w:start w:val="1"/>
      <w:numFmt w:val="decimal"/>
      <w:suff w:val="nothing"/>
      <w:lvlText w:val="%1、"/>
      <w:lvlJc w:val="left"/>
    </w:lvl>
  </w:abstractNum>
  <w:abstractNum w:abstractNumId="6">
    <w:nsid w:val="3B3ED14C"/>
    <w:multiLevelType w:val="singleLevel"/>
    <w:tmpl w:val="3B3ED14C"/>
    <w:lvl w:ilvl="0" w:tentative="0">
      <w:start w:val="1"/>
      <w:numFmt w:val="decimal"/>
      <w:suff w:val="nothing"/>
      <w:lvlText w:val="%1、"/>
      <w:lvlJc w:val="left"/>
    </w:lvl>
  </w:abstractNum>
  <w:num w:numId="1">
    <w:abstractNumId w:val="2"/>
  </w:num>
  <w:num w:numId="2">
    <w:abstractNumId w:val="6"/>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dit="comments" w:enforcement="0"/>
  <w:defaultTabStop w:val="420"/>
  <w:drawingGridVerticalSpacing w:val="21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ODU2ODAwN2Q4MGE2ODFhNGQxNjc2ZDQ5ODMxNWQifQ=="/>
    <w:docVar w:name="DocGlobalSDABB" w:val="02SpMf70KmGsFNE76CwabBHGiVjiQc4gGiA7xokRxa/KeE38yYh/wondgmsHQ+BGKpwj1kbNhOg3xRz1jwaT8wjFHPWPBpPzCMUc9Y8Gk/MIxRz1jwaT8wjFHPWPBpPzCMUc9Y8Gk/MIxRz1jwaT8wjFHPWPBpPzCMUc9Y8Gk/MIxRz1jwaT8wjFHPWPBpPzCMUc9Y8Gk/MIAAAAAA=="/>
    <w:docVar w:name="KSO_WPS_MARK_KEY" w:val="4b89c572-3701-41c0-b244-79cf0d6bd966"/>
  </w:docVars>
  <w:rsids>
    <w:rsidRoot w:val="662F1C65"/>
    <w:rsid w:val="00005F28"/>
    <w:rsid w:val="00006C5C"/>
    <w:rsid w:val="00011E63"/>
    <w:rsid w:val="00016D10"/>
    <w:rsid w:val="00017436"/>
    <w:rsid w:val="00022A07"/>
    <w:rsid w:val="00065F34"/>
    <w:rsid w:val="000727E2"/>
    <w:rsid w:val="000E4C1A"/>
    <w:rsid w:val="00123673"/>
    <w:rsid w:val="0013655C"/>
    <w:rsid w:val="00216F06"/>
    <w:rsid w:val="0028798F"/>
    <w:rsid w:val="003058C8"/>
    <w:rsid w:val="003217B2"/>
    <w:rsid w:val="00346423"/>
    <w:rsid w:val="003827E0"/>
    <w:rsid w:val="003E3153"/>
    <w:rsid w:val="00437EA6"/>
    <w:rsid w:val="0044027C"/>
    <w:rsid w:val="00454659"/>
    <w:rsid w:val="0046011C"/>
    <w:rsid w:val="004838B4"/>
    <w:rsid w:val="00516142"/>
    <w:rsid w:val="00576078"/>
    <w:rsid w:val="005A1C43"/>
    <w:rsid w:val="005C16EF"/>
    <w:rsid w:val="00621F8C"/>
    <w:rsid w:val="00647C11"/>
    <w:rsid w:val="00671CBF"/>
    <w:rsid w:val="007B1B13"/>
    <w:rsid w:val="007F248F"/>
    <w:rsid w:val="008257B6"/>
    <w:rsid w:val="00854D1D"/>
    <w:rsid w:val="00856A2E"/>
    <w:rsid w:val="008A55F5"/>
    <w:rsid w:val="008E2F04"/>
    <w:rsid w:val="0095574A"/>
    <w:rsid w:val="00A25A04"/>
    <w:rsid w:val="00A51E09"/>
    <w:rsid w:val="00A92E00"/>
    <w:rsid w:val="00AC2B58"/>
    <w:rsid w:val="00AC3C73"/>
    <w:rsid w:val="00AD273F"/>
    <w:rsid w:val="00AD3D08"/>
    <w:rsid w:val="00B542C4"/>
    <w:rsid w:val="00B9275A"/>
    <w:rsid w:val="00C60604"/>
    <w:rsid w:val="00CE0743"/>
    <w:rsid w:val="00D04E0C"/>
    <w:rsid w:val="00D86303"/>
    <w:rsid w:val="00DA1B69"/>
    <w:rsid w:val="00DC00CE"/>
    <w:rsid w:val="00DE2A21"/>
    <w:rsid w:val="00E14FEF"/>
    <w:rsid w:val="00E85735"/>
    <w:rsid w:val="00E92638"/>
    <w:rsid w:val="00E96D7B"/>
    <w:rsid w:val="00EF463B"/>
    <w:rsid w:val="00F00C34"/>
    <w:rsid w:val="00F93E4C"/>
    <w:rsid w:val="00F9534F"/>
    <w:rsid w:val="01522661"/>
    <w:rsid w:val="01AC2E04"/>
    <w:rsid w:val="02107B7C"/>
    <w:rsid w:val="02AB2F97"/>
    <w:rsid w:val="02AB317B"/>
    <w:rsid w:val="02C23375"/>
    <w:rsid w:val="02CB6D5F"/>
    <w:rsid w:val="04223C79"/>
    <w:rsid w:val="046D71BC"/>
    <w:rsid w:val="04930697"/>
    <w:rsid w:val="05550FC2"/>
    <w:rsid w:val="057D634A"/>
    <w:rsid w:val="058F525E"/>
    <w:rsid w:val="05B178CA"/>
    <w:rsid w:val="05CF793B"/>
    <w:rsid w:val="06071298"/>
    <w:rsid w:val="060C68AF"/>
    <w:rsid w:val="061F3A0F"/>
    <w:rsid w:val="062C4CB1"/>
    <w:rsid w:val="0636392C"/>
    <w:rsid w:val="064F2C3F"/>
    <w:rsid w:val="06C61153"/>
    <w:rsid w:val="06C76C7A"/>
    <w:rsid w:val="06DD0543"/>
    <w:rsid w:val="06DD1E44"/>
    <w:rsid w:val="06E16379"/>
    <w:rsid w:val="0730225D"/>
    <w:rsid w:val="077235F7"/>
    <w:rsid w:val="07762B7A"/>
    <w:rsid w:val="078E5414"/>
    <w:rsid w:val="082A74C0"/>
    <w:rsid w:val="086B14F1"/>
    <w:rsid w:val="08CB3263"/>
    <w:rsid w:val="08F57ACE"/>
    <w:rsid w:val="093F55B4"/>
    <w:rsid w:val="096133B5"/>
    <w:rsid w:val="0966277A"/>
    <w:rsid w:val="09893AEB"/>
    <w:rsid w:val="09B141D0"/>
    <w:rsid w:val="0A7E1D5B"/>
    <w:rsid w:val="0AA921C9"/>
    <w:rsid w:val="0B0A565B"/>
    <w:rsid w:val="0B3D319B"/>
    <w:rsid w:val="0B7F57C6"/>
    <w:rsid w:val="0B982552"/>
    <w:rsid w:val="0BAE3FFE"/>
    <w:rsid w:val="0BC53FB4"/>
    <w:rsid w:val="0C3C5A14"/>
    <w:rsid w:val="0C8A204C"/>
    <w:rsid w:val="0CB53EE9"/>
    <w:rsid w:val="0CEC2F96"/>
    <w:rsid w:val="0CFF716D"/>
    <w:rsid w:val="0D311DCB"/>
    <w:rsid w:val="0D663EBF"/>
    <w:rsid w:val="0E0F7347"/>
    <w:rsid w:val="0E4D331C"/>
    <w:rsid w:val="0E547045"/>
    <w:rsid w:val="0E5E4367"/>
    <w:rsid w:val="0EAD0932"/>
    <w:rsid w:val="0ED064B6"/>
    <w:rsid w:val="0EF16F30"/>
    <w:rsid w:val="0F367A20"/>
    <w:rsid w:val="0F6459AD"/>
    <w:rsid w:val="0F885312"/>
    <w:rsid w:val="0FB51D65"/>
    <w:rsid w:val="103033A0"/>
    <w:rsid w:val="10D75503"/>
    <w:rsid w:val="10D82F9F"/>
    <w:rsid w:val="10EF574B"/>
    <w:rsid w:val="11573FF8"/>
    <w:rsid w:val="11CB1D14"/>
    <w:rsid w:val="11D07A25"/>
    <w:rsid w:val="11D71B42"/>
    <w:rsid w:val="11D87F8D"/>
    <w:rsid w:val="1260115C"/>
    <w:rsid w:val="12942106"/>
    <w:rsid w:val="13F14477"/>
    <w:rsid w:val="141F00F5"/>
    <w:rsid w:val="145C7FB0"/>
    <w:rsid w:val="145F6743"/>
    <w:rsid w:val="148D1503"/>
    <w:rsid w:val="14A14FAE"/>
    <w:rsid w:val="159821C7"/>
    <w:rsid w:val="159863B1"/>
    <w:rsid w:val="159A5710"/>
    <w:rsid w:val="15AC59B8"/>
    <w:rsid w:val="16111CBF"/>
    <w:rsid w:val="163A7468"/>
    <w:rsid w:val="164C16C6"/>
    <w:rsid w:val="168A3A51"/>
    <w:rsid w:val="16E23D68"/>
    <w:rsid w:val="16F2564D"/>
    <w:rsid w:val="17285513"/>
    <w:rsid w:val="173043C7"/>
    <w:rsid w:val="174912C4"/>
    <w:rsid w:val="175C3FD4"/>
    <w:rsid w:val="185B680F"/>
    <w:rsid w:val="18D35D87"/>
    <w:rsid w:val="18DF0205"/>
    <w:rsid w:val="193C1224"/>
    <w:rsid w:val="1A141D7E"/>
    <w:rsid w:val="1A275C64"/>
    <w:rsid w:val="1B25215D"/>
    <w:rsid w:val="1B4D72F6"/>
    <w:rsid w:val="1BF22576"/>
    <w:rsid w:val="1C5A551D"/>
    <w:rsid w:val="1C6D10BB"/>
    <w:rsid w:val="1C6E52B5"/>
    <w:rsid w:val="1C980A44"/>
    <w:rsid w:val="1CDD3C6D"/>
    <w:rsid w:val="1CF23FF2"/>
    <w:rsid w:val="1D84721B"/>
    <w:rsid w:val="1D8611E5"/>
    <w:rsid w:val="1E875215"/>
    <w:rsid w:val="1E916DB3"/>
    <w:rsid w:val="1EAB0F03"/>
    <w:rsid w:val="1F576995"/>
    <w:rsid w:val="1F88077C"/>
    <w:rsid w:val="20A7394C"/>
    <w:rsid w:val="20B10327"/>
    <w:rsid w:val="20CD52C4"/>
    <w:rsid w:val="2141581D"/>
    <w:rsid w:val="21447582"/>
    <w:rsid w:val="218314FA"/>
    <w:rsid w:val="21E93AF0"/>
    <w:rsid w:val="21FD48CF"/>
    <w:rsid w:val="22015239"/>
    <w:rsid w:val="22912FD0"/>
    <w:rsid w:val="22F8223D"/>
    <w:rsid w:val="23405992"/>
    <w:rsid w:val="23762853"/>
    <w:rsid w:val="23782B4D"/>
    <w:rsid w:val="237C4C1C"/>
    <w:rsid w:val="23BB2493"/>
    <w:rsid w:val="244250D8"/>
    <w:rsid w:val="24443E0E"/>
    <w:rsid w:val="2464409D"/>
    <w:rsid w:val="246A5E8C"/>
    <w:rsid w:val="249F7101"/>
    <w:rsid w:val="24CC710A"/>
    <w:rsid w:val="24FD64F2"/>
    <w:rsid w:val="25916979"/>
    <w:rsid w:val="25D43A4F"/>
    <w:rsid w:val="25EB42DB"/>
    <w:rsid w:val="27494C78"/>
    <w:rsid w:val="274C192F"/>
    <w:rsid w:val="27570DF4"/>
    <w:rsid w:val="27C748D4"/>
    <w:rsid w:val="284179B5"/>
    <w:rsid w:val="284267BC"/>
    <w:rsid w:val="297F0D2A"/>
    <w:rsid w:val="29B126DC"/>
    <w:rsid w:val="2A3E027D"/>
    <w:rsid w:val="2A5E25E6"/>
    <w:rsid w:val="2A862824"/>
    <w:rsid w:val="2A90291E"/>
    <w:rsid w:val="2AB67849"/>
    <w:rsid w:val="2B38724E"/>
    <w:rsid w:val="2BCE33C6"/>
    <w:rsid w:val="2C7843EE"/>
    <w:rsid w:val="2D4A5D90"/>
    <w:rsid w:val="2DAE631A"/>
    <w:rsid w:val="2DC21DC5"/>
    <w:rsid w:val="2DD307EA"/>
    <w:rsid w:val="2E4B3B69"/>
    <w:rsid w:val="2ECC627F"/>
    <w:rsid w:val="2EDB3CA6"/>
    <w:rsid w:val="2EED4AA2"/>
    <w:rsid w:val="2F460A68"/>
    <w:rsid w:val="2FE34275"/>
    <w:rsid w:val="30B75FB0"/>
    <w:rsid w:val="3140197F"/>
    <w:rsid w:val="318C4DA0"/>
    <w:rsid w:val="31A57A34"/>
    <w:rsid w:val="321D3A6E"/>
    <w:rsid w:val="324E604E"/>
    <w:rsid w:val="32627F77"/>
    <w:rsid w:val="32CF65F9"/>
    <w:rsid w:val="332D303D"/>
    <w:rsid w:val="33D47A42"/>
    <w:rsid w:val="3412426D"/>
    <w:rsid w:val="34D22AF6"/>
    <w:rsid w:val="352358D0"/>
    <w:rsid w:val="35FD6AEE"/>
    <w:rsid w:val="36273488"/>
    <w:rsid w:val="369B2FE3"/>
    <w:rsid w:val="36AD2D04"/>
    <w:rsid w:val="37133692"/>
    <w:rsid w:val="37392C11"/>
    <w:rsid w:val="377A54BF"/>
    <w:rsid w:val="37991DE9"/>
    <w:rsid w:val="38C83D65"/>
    <w:rsid w:val="38EF0CB2"/>
    <w:rsid w:val="39203E44"/>
    <w:rsid w:val="392456E2"/>
    <w:rsid w:val="392B2F4D"/>
    <w:rsid w:val="39345700"/>
    <w:rsid w:val="39845E5E"/>
    <w:rsid w:val="39AD3929"/>
    <w:rsid w:val="39E14289"/>
    <w:rsid w:val="3A1A5C49"/>
    <w:rsid w:val="3A1E0383"/>
    <w:rsid w:val="3A233FDF"/>
    <w:rsid w:val="3A826991"/>
    <w:rsid w:val="3AC23405"/>
    <w:rsid w:val="3B6D7897"/>
    <w:rsid w:val="3BA576B9"/>
    <w:rsid w:val="3BFA5FE0"/>
    <w:rsid w:val="3C430575"/>
    <w:rsid w:val="3C5677E5"/>
    <w:rsid w:val="3C7249B6"/>
    <w:rsid w:val="3C9B4964"/>
    <w:rsid w:val="3D5741CE"/>
    <w:rsid w:val="3D730EA3"/>
    <w:rsid w:val="3D74475E"/>
    <w:rsid w:val="3DF5589F"/>
    <w:rsid w:val="3E271241"/>
    <w:rsid w:val="3E6304AB"/>
    <w:rsid w:val="3F8F3AD1"/>
    <w:rsid w:val="3FC9502E"/>
    <w:rsid w:val="40B64B1B"/>
    <w:rsid w:val="4124370D"/>
    <w:rsid w:val="418D5DEE"/>
    <w:rsid w:val="41C15F04"/>
    <w:rsid w:val="41F33FC2"/>
    <w:rsid w:val="41F50C72"/>
    <w:rsid w:val="420920ED"/>
    <w:rsid w:val="42221B4E"/>
    <w:rsid w:val="425258B7"/>
    <w:rsid w:val="425A1649"/>
    <w:rsid w:val="42676246"/>
    <w:rsid w:val="4298502E"/>
    <w:rsid w:val="42A37FC3"/>
    <w:rsid w:val="43036D4B"/>
    <w:rsid w:val="43802B2B"/>
    <w:rsid w:val="43BD1ED3"/>
    <w:rsid w:val="43DA661A"/>
    <w:rsid w:val="440473E0"/>
    <w:rsid w:val="441546EA"/>
    <w:rsid w:val="443609BF"/>
    <w:rsid w:val="44950E10"/>
    <w:rsid w:val="44BF6C07"/>
    <w:rsid w:val="44D02BC2"/>
    <w:rsid w:val="454D7D6F"/>
    <w:rsid w:val="46844B84"/>
    <w:rsid w:val="470E0923"/>
    <w:rsid w:val="47EB386F"/>
    <w:rsid w:val="48102525"/>
    <w:rsid w:val="481E3C44"/>
    <w:rsid w:val="48751681"/>
    <w:rsid w:val="48981C49"/>
    <w:rsid w:val="48AF67B5"/>
    <w:rsid w:val="48EB621C"/>
    <w:rsid w:val="48F0738F"/>
    <w:rsid w:val="490857BB"/>
    <w:rsid w:val="490C1CEF"/>
    <w:rsid w:val="49103926"/>
    <w:rsid w:val="491E446F"/>
    <w:rsid w:val="491E7873"/>
    <w:rsid w:val="49322D25"/>
    <w:rsid w:val="4981092F"/>
    <w:rsid w:val="499917D4"/>
    <w:rsid w:val="49AB4D1A"/>
    <w:rsid w:val="49AC7676"/>
    <w:rsid w:val="4B6252AD"/>
    <w:rsid w:val="4B827D76"/>
    <w:rsid w:val="4BAB72C9"/>
    <w:rsid w:val="4BD44D46"/>
    <w:rsid w:val="4C2442A0"/>
    <w:rsid w:val="4C8E10D0"/>
    <w:rsid w:val="4C983FC5"/>
    <w:rsid w:val="4D7218E2"/>
    <w:rsid w:val="4DAE1AA6"/>
    <w:rsid w:val="4DC7381F"/>
    <w:rsid w:val="4EF91FE2"/>
    <w:rsid w:val="4F5368C9"/>
    <w:rsid w:val="4F5B577E"/>
    <w:rsid w:val="4F7773EC"/>
    <w:rsid w:val="4F955FE1"/>
    <w:rsid w:val="4F9F4BEB"/>
    <w:rsid w:val="4FC866FB"/>
    <w:rsid w:val="4FFA5A63"/>
    <w:rsid w:val="502E377B"/>
    <w:rsid w:val="50F96FFC"/>
    <w:rsid w:val="515A03F0"/>
    <w:rsid w:val="51D322F8"/>
    <w:rsid w:val="5273768F"/>
    <w:rsid w:val="529E60AD"/>
    <w:rsid w:val="53284B95"/>
    <w:rsid w:val="535D50B9"/>
    <w:rsid w:val="537137C2"/>
    <w:rsid w:val="53ED75FF"/>
    <w:rsid w:val="53F561A1"/>
    <w:rsid w:val="54492049"/>
    <w:rsid w:val="54504AEA"/>
    <w:rsid w:val="54A4164B"/>
    <w:rsid w:val="54B84577"/>
    <w:rsid w:val="55627866"/>
    <w:rsid w:val="55BF426F"/>
    <w:rsid w:val="55BF6A67"/>
    <w:rsid w:val="55F36710"/>
    <w:rsid w:val="55F45100"/>
    <w:rsid w:val="5624337B"/>
    <w:rsid w:val="5664316A"/>
    <w:rsid w:val="567D53B4"/>
    <w:rsid w:val="56955A19"/>
    <w:rsid w:val="579E79C6"/>
    <w:rsid w:val="57E04A72"/>
    <w:rsid w:val="57F64296"/>
    <w:rsid w:val="589D0BB5"/>
    <w:rsid w:val="59545718"/>
    <w:rsid w:val="59710078"/>
    <w:rsid w:val="5A4C0A0E"/>
    <w:rsid w:val="5A973E82"/>
    <w:rsid w:val="5B264E92"/>
    <w:rsid w:val="5B4917B7"/>
    <w:rsid w:val="5B5639C9"/>
    <w:rsid w:val="5B694D7F"/>
    <w:rsid w:val="5BF44F90"/>
    <w:rsid w:val="5C221AFD"/>
    <w:rsid w:val="5CFB66D0"/>
    <w:rsid w:val="5D050E53"/>
    <w:rsid w:val="5D312A19"/>
    <w:rsid w:val="5D8B722E"/>
    <w:rsid w:val="5D924A61"/>
    <w:rsid w:val="5DA3354C"/>
    <w:rsid w:val="5DDB09D2"/>
    <w:rsid w:val="5E27164D"/>
    <w:rsid w:val="5E443FAD"/>
    <w:rsid w:val="5E4918C7"/>
    <w:rsid w:val="5E6608D0"/>
    <w:rsid w:val="5E9434A3"/>
    <w:rsid w:val="5F2142EE"/>
    <w:rsid w:val="5F750D80"/>
    <w:rsid w:val="5FCD2B57"/>
    <w:rsid w:val="5FFE462F"/>
    <w:rsid w:val="603436D2"/>
    <w:rsid w:val="60363272"/>
    <w:rsid w:val="60644098"/>
    <w:rsid w:val="60B97BF5"/>
    <w:rsid w:val="612B4CC9"/>
    <w:rsid w:val="61386753"/>
    <w:rsid w:val="619C4100"/>
    <w:rsid w:val="622D2FAA"/>
    <w:rsid w:val="623E6F65"/>
    <w:rsid w:val="62C27B96"/>
    <w:rsid w:val="64287ECD"/>
    <w:rsid w:val="64550596"/>
    <w:rsid w:val="64573AD3"/>
    <w:rsid w:val="6457430E"/>
    <w:rsid w:val="64DE0B89"/>
    <w:rsid w:val="65047B23"/>
    <w:rsid w:val="6511150A"/>
    <w:rsid w:val="6557231B"/>
    <w:rsid w:val="656029B4"/>
    <w:rsid w:val="65A13A93"/>
    <w:rsid w:val="65D66924"/>
    <w:rsid w:val="662F1C65"/>
    <w:rsid w:val="66982B98"/>
    <w:rsid w:val="669E4476"/>
    <w:rsid w:val="66A638F1"/>
    <w:rsid w:val="66B71094"/>
    <w:rsid w:val="67122BD6"/>
    <w:rsid w:val="6741120D"/>
    <w:rsid w:val="686A0B78"/>
    <w:rsid w:val="690F02BE"/>
    <w:rsid w:val="69262749"/>
    <w:rsid w:val="69990F25"/>
    <w:rsid w:val="69C02799"/>
    <w:rsid w:val="69E46644"/>
    <w:rsid w:val="6A1A2066"/>
    <w:rsid w:val="6A5E195B"/>
    <w:rsid w:val="6A9A4F55"/>
    <w:rsid w:val="6AB9362D"/>
    <w:rsid w:val="6AC979F5"/>
    <w:rsid w:val="6B0A3CA6"/>
    <w:rsid w:val="6B0C5E52"/>
    <w:rsid w:val="6B605DD3"/>
    <w:rsid w:val="6BA31452"/>
    <w:rsid w:val="6BF84B95"/>
    <w:rsid w:val="6CD4568C"/>
    <w:rsid w:val="6D3F2AEA"/>
    <w:rsid w:val="6DC76061"/>
    <w:rsid w:val="6E1533AA"/>
    <w:rsid w:val="6EAC5AA4"/>
    <w:rsid w:val="6EB72E4B"/>
    <w:rsid w:val="6ECD3B4B"/>
    <w:rsid w:val="6EDA5421"/>
    <w:rsid w:val="6F08610C"/>
    <w:rsid w:val="6F086931"/>
    <w:rsid w:val="6F5F4643"/>
    <w:rsid w:val="6FB24AEE"/>
    <w:rsid w:val="6FD35191"/>
    <w:rsid w:val="6FF638C7"/>
    <w:rsid w:val="70C42D2B"/>
    <w:rsid w:val="70C75FCD"/>
    <w:rsid w:val="7166498F"/>
    <w:rsid w:val="716B41AA"/>
    <w:rsid w:val="7185070D"/>
    <w:rsid w:val="718A7AD1"/>
    <w:rsid w:val="71CC00E9"/>
    <w:rsid w:val="71E05943"/>
    <w:rsid w:val="72164542"/>
    <w:rsid w:val="72390DDD"/>
    <w:rsid w:val="73852C46"/>
    <w:rsid w:val="73C14E0D"/>
    <w:rsid w:val="749D5D6D"/>
    <w:rsid w:val="74AA6D20"/>
    <w:rsid w:val="750202C6"/>
    <w:rsid w:val="75662F0C"/>
    <w:rsid w:val="75797855"/>
    <w:rsid w:val="758B02BC"/>
    <w:rsid w:val="75A063FF"/>
    <w:rsid w:val="75D828BD"/>
    <w:rsid w:val="766528BB"/>
    <w:rsid w:val="766D45B1"/>
    <w:rsid w:val="7707489F"/>
    <w:rsid w:val="776770CC"/>
    <w:rsid w:val="78BF14B0"/>
    <w:rsid w:val="79C46236"/>
    <w:rsid w:val="7A1F4FCD"/>
    <w:rsid w:val="7AF51938"/>
    <w:rsid w:val="7B08256F"/>
    <w:rsid w:val="7B5829EE"/>
    <w:rsid w:val="7B6763EF"/>
    <w:rsid w:val="7C4B3F7F"/>
    <w:rsid w:val="7C7E0232"/>
    <w:rsid w:val="7D1A729D"/>
    <w:rsid w:val="7D3354C1"/>
    <w:rsid w:val="7D4B2287"/>
    <w:rsid w:val="7D7F5CA9"/>
    <w:rsid w:val="7DBC1ECA"/>
    <w:rsid w:val="7DF509C8"/>
    <w:rsid w:val="7E1A169F"/>
    <w:rsid w:val="7EA321D2"/>
    <w:rsid w:val="7EC30F6E"/>
    <w:rsid w:val="7F0834F6"/>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4"/>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Indent 2"/>
    <w:qFormat/>
    <w:uiPriority w:val="99"/>
    <w:pPr>
      <w:widowControl w:val="0"/>
      <w:spacing w:after="120" w:line="480" w:lineRule="auto"/>
      <w:ind w:left="420" w:leftChars="200"/>
      <w:jc w:val="both"/>
    </w:pPr>
    <w:rPr>
      <w:rFonts w:asciiTheme="minorHAnsi" w:hAnsiTheme="minorHAnsi" w:eastAsiaTheme="minorEastAsia" w:cstheme="minorBidi"/>
      <w:kern w:val="2"/>
      <w:sz w:val="21"/>
      <w:szCs w:val="24"/>
      <w:lang w:val="en-US" w:eastAsia="zh-CN" w:bidi="ar-SA"/>
    </w:rPr>
  </w:style>
  <w:style w:type="paragraph" w:customStyle="1" w:styleId="4">
    <w:name w:val="公文正文"/>
    <w:qFormat/>
    <w:uiPriority w:val="0"/>
    <w:pPr>
      <w:widowControl w:val="0"/>
      <w:spacing w:line="560" w:lineRule="exact"/>
      <w:ind w:firstLine="200" w:firstLineChars="200"/>
      <w:jc w:val="both"/>
    </w:pPr>
    <w:rPr>
      <w:rFonts w:ascii="仿宋_GB2312" w:hAnsi="仿宋_GB2312" w:eastAsia="仿宋_GB2312" w:cstheme="minorBidi"/>
      <w:kern w:val="44"/>
      <w:sz w:val="32"/>
      <w:szCs w:val="44"/>
      <w:lang w:val="en-US" w:eastAsia="zh-CN" w:bidi="ar-SA"/>
    </w:rPr>
  </w:style>
  <w:style w:type="paragraph" w:styleId="6">
    <w:name w:val="Normal Indent"/>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styleId="7">
    <w:name w:val="Body Text"/>
    <w:next w:val="8"/>
    <w:qFormat/>
    <w:uiPriority w:val="0"/>
    <w:pPr>
      <w:widowControl w:val="0"/>
      <w:jc w:val="both"/>
    </w:pPr>
    <w:rPr>
      <w:rFonts w:eastAsia="宋体" w:asciiTheme="minorHAnsi" w:hAnsiTheme="minorHAnsi" w:cstheme="minorBidi"/>
      <w:kern w:val="2"/>
      <w:sz w:val="21"/>
      <w:szCs w:val="24"/>
      <w:lang w:val="en-US" w:eastAsia="zh-CN" w:bidi="ar-SA"/>
    </w:rPr>
  </w:style>
  <w:style w:type="paragraph" w:styleId="8">
    <w:name w:val="toc 5"/>
    <w:next w:val="1"/>
    <w:qFormat/>
    <w:uiPriority w:val="0"/>
    <w:pPr>
      <w:widowControl w:val="0"/>
      <w:suppressAutoHyphens/>
      <w:bidi w:val="0"/>
      <w:ind w:left="1680"/>
      <w:jc w:val="both"/>
    </w:pPr>
    <w:rPr>
      <w:rFonts w:ascii="Calibri" w:hAnsi="Calibri" w:eastAsia="宋体" w:cs="Times New Roman"/>
      <w:color w:val="auto"/>
      <w:kern w:val="2"/>
      <w:sz w:val="21"/>
      <w:szCs w:val="24"/>
      <w:lang w:val="en-US" w:eastAsia="zh-CN" w:bidi="ar-SA"/>
    </w:rPr>
  </w:style>
  <w:style w:type="paragraph" w:styleId="9">
    <w:name w:val="Body Text Indent"/>
    <w:qFormat/>
    <w:uiPriority w:val="0"/>
    <w:pPr>
      <w:widowControl w:val="0"/>
      <w:spacing w:after="120" w:afterLines="0" w:afterAutospacing="0"/>
      <w:ind w:left="420" w:leftChars="200"/>
      <w:jc w:val="both"/>
    </w:pPr>
    <w:rPr>
      <w:rFonts w:ascii="Calibri" w:hAnsi="Calibri" w:eastAsia="宋体" w:cs="仿宋_GB2312"/>
      <w:kern w:val="2"/>
      <w:sz w:val="32"/>
      <w:szCs w:val="32"/>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Autospacing="1" w:afterAutospacing="1"/>
      <w:jc w:val="left"/>
    </w:pPr>
    <w:rPr>
      <w:kern w:val="0"/>
      <w:sz w:val="24"/>
    </w:rPr>
  </w:style>
  <w:style w:type="paragraph" w:styleId="14">
    <w:name w:val="Title"/>
    <w:basedOn w:val="1"/>
    <w:next w:val="1"/>
    <w:qFormat/>
    <w:uiPriority w:val="0"/>
    <w:pPr>
      <w:ind w:firstLine="200" w:firstLineChars="200"/>
      <w:jc w:val="center"/>
      <w:outlineLvl w:val="0"/>
    </w:pPr>
    <w:rPr>
      <w:rFonts w:ascii="Cambria" w:hAnsi="Cambria" w:eastAsia="方正小标宋简体" w:cs="Cambri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font11"/>
    <w:basedOn w:val="17"/>
    <w:qFormat/>
    <w:uiPriority w:val="0"/>
    <w:rPr>
      <w:rFonts w:hint="eastAsia" w:ascii="宋体" w:hAnsi="宋体" w:eastAsia="宋体" w:cs="宋体"/>
      <w:color w:val="000000"/>
      <w:sz w:val="20"/>
      <w:szCs w:val="20"/>
      <w:u w:val="none"/>
    </w:rPr>
  </w:style>
  <w:style w:type="character" w:customStyle="1" w:styleId="21">
    <w:name w:val="font51"/>
    <w:basedOn w:val="17"/>
    <w:qFormat/>
    <w:uiPriority w:val="0"/>
    <w:rPr>
      <w:rFonts w:hint="eastAsia" w:ascii="宋体" w:hAnsi="宋体" w:eastAsia="宋体" w:cs="宋体"/>
      <w:b/>
      <w:color w:val="000000"/>
      <w:sz w:val="20"/>
      <w:szCs w:val="20"/>
      <w:u w:val="none"/>
    </w:rPr>
  </w:style>
  <w:style w:type="paragraph" w:customStyle="1" w:styleId="22">
    <w:name w:val="样式1"/>
    <w:qFormat/>
    <w:uiPriority w:val="0"/>
    <w:pPr>
      <w:widowControl w:val="0"/>
      <w:spacing w:line="600" w:lineRule="exact"/>
      <w:ind w:firstLine="412" w:firstLineChars="200"/>
      <w:jc w:val="both"/>
    </w:pPr>
    <w:rPr>
      <w:rFonts w:eastAsia="仿宋_GB2312" w:cs="仿宋_GB2312" w:asciiTheme="minorAscii" w:hAnsiTheme="minorAscii"/>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runchc.Com</Company>
  <Pages>19</Pages>
  <Words>4391</Words>
  <Characters>4509</Characters>
  <Lines>4</Lines>
  <Paragraphs>1</Paragraphs>
  <TotalTime>1</TotalTime>
  <ScaleCrop>false</ScaleCrop>
  <LinksUpToDate>false</LinksUpToDate>
  <CharactersWithSpaces>4735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2021-06-18T01:34:00Z</dcterms:created>
  <dc:creator>慕秋</dc:creator>
  <cp:lastModifiedBy>芜湖经信</cp:lastModifiedBy>
  <cp:lastPrinted>2026-03-17T07:22:00Z</cp:lastPrinted>
  <dcterms:modified xsi:type="dcterms:W3CDTF">2026-03-17T07:33:53Z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1A345ACFAD2E488E930C927B82B9FAFC_13</vt:lpwstr>
  </property>
  <property fmtid="{D5CDD505-2E9C-101B-9397-08002B2CF9AE}" pid="4" name="KSOTemplateDocerSaveRecord">
    <vt:lpwstr>eyJoZGlkIjoiMzVmM2UyYWYyNDYwYzg0NDU4ZTZhMDBlMTZhZWRhMWEiLCJ1c2VySWQiOiIxNDQ3MzkwMzI1In0=</vt:lpwstr>
  </property>
</Properties>
</file>