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C5DA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Times New Roman" w:hAnsi="Times New Roman" w:eastAsia="黑体" w:cs="Times New Roman"/>
          <w:i w:val="0"/>
          <w:iCs w:val="0"/>
          <w:caps w:val="0"/>
          <w:color w:val="auto"/>
          <w:spacing w:val="0"/>
          <w:sz w:val="32"/>
          <w:szCs w:val="32"/>
          <w:shd w:val="clear" w:color="auto" w:fill="FFFFFF"/>
          <w:lang w:val="en-US" w:eastAsia="zh-CN"/>
        </w:rPr>
      </w:pPr>
      <w:bookmarkStart w:id="0" w:name="_GoBack"/>
      <w:bookmarkEnd w:id="0"/>
      <w:r>
        <w:rPr>
          <w:rFonts w:hint="eastAsia" w:ascii="Times New Roman" w:hAnsi="Times New Roman" w:eastAsia="黑体" w:cs="Times New Roman"/>
          <w:i w:val="0"/>
          <w:iCs w:val="0"/>
          <w:caps w:val="0"/>
          <w:color w:val="auto"/>
          <w:spacing w:val="0"/>
          <w:sz w:val="32"/>
          <w:szCs w:val="32"/>
          <w:shd w:val="clear" w:color="auto" w:fill="FFFFFF"/>
          <w:lang w:val="en-US" w:eastAsia="zh-CN"/>
        </w:rPr>
        <w:t>附件1</w:t>
      </w:r>
    </w:p>
    <w:p w14:paraId="73006AB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val="en-US"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val="en-US" w:eastAsia="zh-CN"/>
        </w:rPr>
        <w:t>资金测算表</w:t>
      </w:r>
    </w:p>
    <w:p w14:paraId="58B4D50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仿宋_GB2312"/>
          <w:i w:val="0"/>
          <w:iCs w:val="0"/>
          <w:caps w:val="0"/>
          <w:color w:val="auto"/>
          <w:spacing w:val="0"/>
          <w:sz w:val="28"/>
          <w:szCs w:val="28"/>
          <w:shd w:val="clear" w:color="auto" w:fill="FFFFFF"/>
          <w:lang w:val="en-US" w:eastAsia="zh-CN"/>
        </w:rPr>
      </w:pPr>
      <w:r>
        <w:rPr>
          <w:rFonts w:hint="eastAsia" w:ascii="Times New Roman" w:hAnsi="Times New Roman" w:eastAsia="仿宋_GB2312" w:cs="仿宋_GB2312"/>
          <w:i w:val="0"/>
          <w:iCs w:val="0"/>
          <w:caps w:val="0"/>
          <w:color w:val="auto"/>
          <w:spacing w:val="0"/>
          <w:sz w:val="28"/>
          <w:szCs w:val="28"/>
          <w:shd w:val="clear" w:color="auto" w:fill="FFFFFF"/>
          <w:lang w:val="en-US" w:eastAsia="zh-CN"/>
        </w:rPr>
        <w:t>填报部门：（盖章）                                                               单位：万元</w:t>
      </w:r>
    </w:p>
    <w:tbl>
      <w:tblPr>
        <w:tblStyle w:val="11"/>
        <w:tblW w:w="14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797"/>
        <w:gridCol w:w="2270"/>
        <w:gridCol w:w="1884"/>
        <w:gridCol w:w="1980"/>
        <w:gridCol w:w="2540"/>
      </w:tblGrid>
      <w:tr w14:paraId="2FE8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14:paraId="749D420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项目名称</w:t>
            </w:r>
          </w:p>
        </w:tc>
        <w:tc>
          <w:tcPr>
            <w:tcW w:w="2797" w:type="dxa"/>
            <w:tcBorders>
              <w:top w:val="single" w:color="auto" w:sz="4" w:space="0"/>
              <w:left w:val="single" w:color="auto" w:sz="4" w:space="0"/>
              <w:bottom w:val="single" w:color="auto" w:sz="4" w:space="0"/>
              <w:right w:val="single" w:color="auto" w:sz="4" w:space="0"/>
            </w:tcBorders>
            <w:noWrap w:val="0"/>
            <w:vAlign w:val="center"/>
          </w:tcPr>
          <w:p w14:paraId="0EA6371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政策内容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1DABD8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2024年度预计</w:t>
            </w:r>
          </w:p>
          <w:p w14:paraId="334F12E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完成情况</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741CD0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预计奖补</w:t>
            </w:r>
          </w:p>
          <w:p w14:paraId="7E95DBA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资金金额</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932E74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预计市级财政承担金额</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23215E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pPr>
            <w:r>
              <w:rPr>
                <w:rFonts w:hint="eastAsia" w:ascii="Times New Roman" w:hAnsi="Times New Roman" w:eastAsia="黑体" w:cs="黑体"/>
                <w:i w:val="0"/>
                <w:iCs w:val="0"/>
                <w:caps w:val="0"/>
                <w:color w:val="auto"/>
                <w:spacing w:val="0"/>
                <w:sz w:val="28"/>
                <w:szCs w:val="28"/>
                <w:shd w:val="clear" w:color="auto" w:fill="FFFFFF"/>
                <w:vertAlign w:val="baseline"/>
                <w:lang w:val="en-US" w:eastAsia="zh-CN"/>
              </w:rPr>
              <w:t>项目绩效目标</w:t>
            </w:r>
          </w:p>
        </w:tc>
      </w:tr>
      <w:tr w14:paraId="7C6C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14:paraId="7798745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r>
              <w:rPr>
                <w:rFonts w:hint="eastAsia" w:ascii="Times New Roman" w:hAnsi="Times New Roman" w:eastAsia="仿宋_GB2312" w:cs="仿宋_GB2312"/>
                <w:i w:val="0"/>
                <w:iCs w:val="0"/>
                <w:caps w:val="0"/>
                <w:color w:val="auto"/>
                <w:spacing w:val="0"/>
                <w:sz w:val="28"/>
                <w:szCs w:val="28"/>
                <w:shd w:val="clear" w:color="auto" w:fill="FFFFFF"/>
                <w:vertAlign w:val="baseline"/>
                <w:lang w:val="en-US" w:eastAsia="zh-CN"/>
              </w:rPr>
              <w:t>制造业贴息项目</w:t>
            </w:r>
          </w:p>
        </w:tc>
        <w:tc>
          <w:tcPr>
            <w:tcW w:w="2797" w:type="dxa"/>
            <w:tcBorders>
              <w:top w:val="single" w:color="auto" w:sz="4" w:space="0"/>
              <w:left w:val="single" w:color="auto" w:sz="4" w:space="0"/>
              <w:bottom w:val="single" w:color="auto" w:sz="4" w:space="0"/>
              <w:right w:val="single" w:color="auto" w:sz="4" w:space="0"/>
            </w:tcBorders>
            <w:noWrap w:val="0"/>
            <w:vAlign w:val="center"/>
          </w:tcPr>
          <w:p w14:paraId="3FFDF4A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C761A8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CCACC2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529438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2B731A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r>
      <w:tr w14:paraId="7D02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2649" w:type="dxa"/>
            <w:tcBorders>
              <w:top w:val="single" w:color="auto" w:sz="4" w:space="0"/>
              <w:left w:val="single" w:color="auto" w:sz="4" w:space="0"/>
              <w:bottom w:val="single" w:color="auto" w:sz="4" w:space="0"/>
              <w:right w:val="single" w:color="auto" w:sz="4" w:space="0"/>
            </w:tcBorders>
            <w:noWrap w:val="0"/>
            <w:vAlign w:val="center"/>
          </w:tcPr>
          <w:p w14:paraId="5B1C2E7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i w:val="0"/>
                <w:iCs w:val="0"/>
                <w:caps w:val="0"/>
                <w:color w:val="auto"/>
                <w:spacing w:val="0"/>
                <w:sz w:val="28"/>
                <w:szCs w:val="28"/>
                <w:shd w:val="clear" w:color="auto" w:fill="FFFFFF"/>
                <w:vertAlign w:val="baseline"/>
                <w:lang w:val="en-US" w:eastAsia="zh-CN"/>
              </w:rPr>
            </w:pPr>
            <w:r>
              <w:rPr>
                <w:rFonts w:hint="eastAsia" w:ascii="Times New Roman" w:hAnsi="Times New Roman" w:eastAsia="仿宋_GB2312" w:cs="仿宋_GB2312"/>
                <w:i w:val="0"/>
                <w:iCs w:val="0"/>
                <w:caps w:val="0"/>
                <w:color w:val="auto"/>
                <w:spacing w:val="0"/>
                <w:sz w:val="28"/>
                <w:szCs w:val="28"/>
                <w:shd w:val="clear" w:color="auto" w:fill="FFFFFF"/>
                <w:vertAlign w:val="baseline"/>
                <w:lang w:val="en-US" w:eastAsia="zh-CN"/>
              </w:rPr>
              <w:t>新能源汽车替代</w:t>
            </w:r>
          </w:p>
          <w:p w14:paraId="7D7FCF8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r>
              <w:rPr>
                <w:rFonts w:hint="eastAsia" w:ascii="Times New Roman" w:hAnsi="Times New Roman" w:eastAsia="仿宋_GB2312" w:cs="仿宋_GB2312"/>
                <w:i w:val="0"/>
                <w:iCs w:val="0"/>
                <w:caps w:val="0"/>
                <w:color w:val="auto"/>
                <w:spacing w:val="0"/>
                <w:sz w:val="28"/>
                <w:szCs w:val="28"/>
                <w:shd w:val="clear" w:color="auto" w:fill="FFFFFF"/>
                <w:vertAlign w:val="baseline"/>
                <w:lang w:val="en-US" w:eastAsia="zh-CN"/>
              </w:rPr>
              <w:t>运营奖补项目</w:t>
            </w:r>
          </w:p>
        </w:tc>
        <w:tc>
          <w:tcPr>
            <w:tcW w:w="2797" w:type="dxa"/>
            <w:tcBorders>
              <w:top w:val="single" w:color="auto" w:sz="4" w:space="0"/>
              <w:left w:val="single" w:color="auto" w:sz="4" w:space="0"/>
              <w:bottom w:val="single" w:color="auto" w:sz="4" w:space="0"/>
              <w:right w:val="single" w:color="auto" w:sz="4" w:space="0"/>
            </w:tcBorders>
            <w:noWrap w:val="0"/>
            <w:vAlign w:val="center"/>
          </w:tcPr>
          <w:p w14:paraId="5CDF560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C280A2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DBD34B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85E763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456CF4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8"/>
                <w:szCs w:val="28"/>
                <w:shd w:val="clear" w:color="auto" w:fill="FFFFFF"/>
                <w:vertAlign w:val="baseline"/>
                <w:lang w:val="en-US" w:eastAsia="zh-CN"/>
              </w:rPr>
            </w:pPr>
          </w:p>
        </w:tc>
      </w:tr>
    </w:tbl>
    <w:p w14:paraId="5E392AE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仿宋_GB2312"/>
          <w:i w:val="0"/>
          <w:iCs w:val="0"/>
          <w:caps w:val="0"/>
          <w:color w:val="auto"/>
          <w:spacing w:val="0"/>
          <w:sz w:val="28"/>
          <w:szCs w:val="28"/>
          <w:shd w:val="clear" w:color="auto" w:fill="FFFFFF"/>
          <w:lang w:val="en-US" w:eastAsia="zh-CN"/>
        </w:rPr>
        <w:sectPr>
          <w:footerReference r:id="rId3" w:type="default"/>
          <w:pgSz w:w="16838" w:h="11906" w:orient="landscape"/>
          <w:pgMar w:top="1474" w:right="2098" w:bottom="1474" w:left="1984" w:header="851" w:footer="992" w:gutter="0"/>
          <w:pgNumType w:fmt="decimal"/>
          <w:cols w:space="720" w:num="1"/>
          <w:rtlGutter w:val="0"/>
          <w:docGrid w:type="lines" w:linePitch="579" w:charSpace="0"/>
        </w:sectPr>
      </w:pPr>
      <w:r>
        <w:rPr>
          <w:rFonts w:hint="eastAsia" w:ascii="Times New Roman" w:hAnsi="Times New Roman" w:eastAsia="仿宋_GB2312" w:cs="仿宋_GB2312"/>
          <w:i w:val="0"/>
          <w:iCs w:val="0"/>
          <w:caps w:val="0"/>
          <w:color w:val="auto"/>
          <w:spacing w:val="0"/>
          <w:sz w:val="28"/>
          <w:szCs w:val="28"/>
          <w:shd w:val="clear" w:color="auto" w:fill="FFFFFF"/>
          <w:lang w:val="en-US" w:eastAsia="zh-CN"/>
        </w:rPr>
        <w:t>联系人及电话：                                                      填报日期：   年  月   日</w:t>
      </w:r>
    </w:p>
    <w:p w14:paraId="0ACE520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附件2</w:t>
      </w:r>
    </w:p>
    <w:p w14:paraId="2732F8A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val="en-US"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val="en-US" w:eastAsia="zh-CN"/>
        </w:rPr>
        <w:t>项目申报条件</w:t>
      </w:r>
    </w:p>
    <w:p w14:paraId="2B5FB48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0" w:leftChars="0" w:firstLine="640" w:firstLineChars="0"/>
        <w:jc w:val="both"/>
        <w:textAlignment w:val="auto"/>
        <w:rPr>
          <w:rFonts w:hint="eastAsia"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制造业贴息项目（责任单位：市发改委）</w:t>
      </w:r>
    </w:p>
    <w:p w14:paraId="643CC36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 xml:space="preserve">    无需企业申报，根据省级资金下达文件，按照比例市、县（区）共担。</w:t>
      </w:r>
    </w:p>
    <w:p w14:paraId="374ABD9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0" w:leftChars="0" w:firstLine="640" w:firstLineChars="0"/>
        <w:jc w:val="both"/>
        <w:textAlignment w:val="auto"/>
        <w:rPr>
          <w:rFonts w:hint="eastAsia"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新能源汽车替代运营奖补项目（责任单位：市科技局）</w:t>
      </w:r>
    </w:p>
    <w:p w14:paraId="59D4D7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1.在芜湖市行政区域范围内注册纳税具有独立法人资格，使用新能源汽车作为网约、租赁、物流、邮政、环卫的运营企业。申报单位新能源汽车运营规模不少于100辆。</w:t>
      </w:r>
    </w:p>
    <w:p w14:paraId="0794B6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2.申报车辆为运营企业当年新购买纯电动新能源汽车，车辆所有权为运营企业所有，二手车辆、转让车辆、过户车辆、承租车辆等不予享受。</w:t>
      </w:r>
    </w:p>
    <w:p w14:paraId="0C8049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3.申报车型需纳入工信部《新能源汽车推广应用推荐车型目录》，产品技术参数需符合国家2022年新能源汽车推广应用财政补贴政策要求。</w:t>
      </w:r>
    </w:p>
    <w:p w14:paraId="4D35A9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4.申报车辆年度行驶里程以购买当年12月31日新能源汽车国家监测与管理平台中该车辆的行驶里程数为准。</w:t>
      </w:r>
    </w:p>
    <w:p w14:paraId="7136F7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5.整车租赁的运营企业应当对其租赁的车辆在申报补助期截止日前一直拥有车辆所有权，已转让所有权的不予补助。</w:t>
      </w:r>
    </w:p>
    <w:p w14:paraId="2775138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0" w:leftChars="0" w:firstLine="640" w:firstLineChars="0"/>
        <w:jc w:val="both"/>
        <w:textAlignment w:val="auto"/>
        <w:rPr>
          <w:rFonts w:hint="eastAsia"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公用充电基础设施运营奖补项目（责任单位：市工信局）</w:t>
      </w:r>
    </w:p>
    <w:p w14:paraId="0F3096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1.申报主体为公用充电基础设施运营单位。</w:t>
      </w:r>
    </w:p>
    <w:p w14:paraId="6C0272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2.公用充电基础设施须通过市住建局验收并投入运营使用，已接入全市统一的公共充电设施运营监管平台（市级平台）。</w:t>
      </w:r>
    </w:p>
    <w:p w14:paraId="44909C0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3.依据接入市级平台充电交易信息记录的2024年度用电量给予运营补贴。</w:t>
      </w:r>
    </w:p>
    <w:p w14:paraId="251E138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0" w:leftChars="0" w:firstLine="640" w:firstLineChars="0"/>
        <w:jc w:val="both"/>
        <w:textAlignment w:val="auto"/>
        <w:rPr>
          <w:rFonts w:hint="default"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公用充（换）电基础设施建设奖补项目（责任单位：市工信局）</w:t>
      </w:r>
    </w:p>
    <w:p w14:paraId="6F5A9C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1.</w:t>
      </w:r>
      <w:r>
        <w:rPr>
          <w:rFonts w:hint="default" w:ascii="Times New Roman" w:hAnsi="Times New Roman" w:eastAsia="仿宋_GB2312" w:cs="仿宋_GB2312"/>
          <w:i w:val="0"/>
          <w:iCs w:val="0"/>
          <w:caps w:val="0"/>
          <w:color w:val="auto"/>
          <w:spacing w:val="0"/>
          <w:sz w:val="32"/>
          <w:szCs w:val="32"/>
          <w:shd w:val="clear" w:color="auto" w:fill="FFFFFF"/>
          <w:lang w:val="en-US" w:eastAsia="zh-CN"/>
        </w:rPr>
        <w:t>申报主体为公用充（换）电基础设施投资建设单位或运营单位</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w:t>
      </w:r>
    </w:p>
    <w:p w14:paraId="1285D2A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2.</w:t>
      </w:r>
      <w:r>
        <w:rPr>
          <w:rFonts w:hint="default" w:ascii="Times New Roman" w:hAnsi="Times New Roman" w:eastAsia="仿宋_GB2312" w:cs="仿宋_GB2312"/>
          <w:i w:val="0"/>
          <w:iCs w:val="0"/>
          <w:caps w:val="0"/>
          <w:color w:val="auto"/>
          <w:spacing w:val="0"/>
          <w:sz w:val="32"/>
          <w:szCs w:val="32"/>
          <w:shd w:val="clear" w:color="auto" w:fill="FFFFFF"/>
          <w:lang w:val="en-US" w:eastAsia="zh-CN"/>
        </w:rPr>
        <w:t>公用充（换）电基础设施须在2024年度建设完成并投入运营使用。公用充电基础设施须通过市住建局验收。公用换电基础设施须提供共享换电技术服务，并且兼容多品牌多车型，须通过有资质的第三方检测机构检验并取得检测合格证明报告</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w:t>
      </w:r>
    </w:p>
    <w:p w14:paraId="5494E9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3.</w:t>
      </w:r>
      <w:r>
        <w:rPr>
          <w:rFonts w:hint="default" w:ascii="Times New Roman" w:hAnsi="Times New Roman" w:eastAsia="仿宋_GB2312" w:cs="仿宋_GB2312"/>
          <w:i w:val="0"/>
          <w:iCs w:val="0"/>
          <w:caps w:val="0"/>
          <w:color w:val="auto"/>
          <w:spacing w:val="0"/>
          <w:sz w:val="32"/>
          <w:szCs w:val="32"/>
          <w:shd w:val="clear" w:color="auto" w:fill="FFFFFF"/>
          <w:lang w:val="en-US" w:eastAsia="zh-CN"/>
        </w:rPr>
        <w:t>申报主体建设运营的公用充（换）电基础设施须接入全市统一的公共充电设施运营监管平台（市级平台）。</w:t>
      </w:r>
    </w:p>
    <w:p w14:paraId="2086638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0" w:leftChars="0" w:firstLine="640" w:firstLineChars="0"/>
        <w:jc w:val="both"/>
        <w:textAlignment w:val="auto"/>
        <w:rPr>
          <w:rFonts w:hint="default"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车联网新型基础设施建设奖补项目（责任单位：市工信局）</w:t>
      </w:r>
    </w:p>
    <w:p w14:paraId="41E5F3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1.申报主体为各县市区、开发区，由各县市区、开发区对辖区内智能网联汽车新型基础设施建设情况进行投资认定，相关设施须为2024年度投资建设并已投入使用。</w:t>
      </w:r>
    </w:p>
    <w:p w14:paraId="7F4386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仿宋_GB2312"/>
          <w:i w:val="0"/>
          <w:iCs w:val="0"/>
          <w:caps w:val="0"/>
          <w:color w:val="auto"/>
          <w:spacing w:val="0"/>
          <w:sz w:val="32"/>
          <w:szCs w:val="32"/>
          <w:shd w:val="clear" w:color="auto" w:fill="FFFFFF"/>
          <w:lang w:val="en-US" w:eastAsia="zh-CN"/>
        </w:rPr>
        <w:t>2.车联网新型基础设施改造路段需已纳入市智能网联汽车公开道路测试路段。</w:t>
      </w:r>
    </w:p>
    <w:p w14:paraId="607ED0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FFFFFF"/>
          <w:lang w:val="en-US" w:eastAsia="zh-CN"/>
        </w:rPr>
        <w:sectPr>
          <w:pgSz w:w="11906" w:h="16838"/>
          <w:pgMar w:top="2098" w:right="1474" w:bottom="1984" w:left="1474" w:header="851" w:footer="992" w:gutter="0"/>
          <w:pgNumType w:fmt="decimal"/>
          <w:cols w:space="720" w:num="1"/>
          <w:rtlGutter w:val="0"/>
          <w:docGrid w:type="lines" w:linePitch="579" w:charSpace="0"/>
        </w:sectPr>
      </w:pPr>
    </w:p>
    <w:p w14:paraId="283CF75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Times New Roman" w:hAnsi="Times New Roman" w:eastAsia="黑体" w:cs="黑体"/>
          <w:i w:val="0"/>
          <w:iCs w:val="0"/>
          <w:caps w:val="0"/>
          <w:color w:val="auto"/>
          <w:spacing w:val="0"/>
          <w:sz w:val="32"/>
          <w:szCs w:val="32"/>
          <w:shd w:val="clear" w:color="auto" w:fill="FFFFFF"/>
          <w:lang w:val="en-US" w:eastAsia="zh-CN"/>
        </w:rPr>
      </w:pPr>
      <w:r>
        <w:rPr>
          <w:rFonts w:hint="eastAsia" w:ascii="Times New Roman" w:hAnsi="Times New Roman" w:eastAsia="黑体" w:cs="黑体"/>
          <w:i w:val="0"/>
          <w:iCs w:val="0"/>
          <w:caps w:val="0"/>
          <w:color w:val="auto"/>
          <w:spacing w:val="0"/>
          <w:sz w:val="32"/>
          <w:szCs w:val="32"/>
          <w:shd w:val="clear" w:color="auto" w:fill="FFFFFF"/>
          <w:lang w:val="en-US" w:eastAsia="zh-CN"/>
        </w:rPr>
        <w:t>附件3</w:t>
      </w:r>
    </w:p>
    <w:tbl>
      <w:tblPr>
        <w:tblStyle w:val="11"/>
        <w:tblpPr w:leftFromText="180" w:rightFromText="180" w:vertAnchor="text" w:horzAnchor="page" w:tblpXSpec="center" w:tblpY="1218"/>
        <w:tblOverlap w:val="never"/>
        <w:tblW w:w="14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2382"/>
        <w:gridCol w:w="1974"/>
        <w:gridCol w:w="4200"/>
        <w:gridCol w:w="3640"/>
        <w:gridCol w:w="1940"/>
      </w:tblGrid>
      <w:tr w14:paraId="577F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B1CD8">
            <w:pPr>
              <w:keepNext w:val="0"/>
              <w:keepLines w:val="0"/>
              <w:widowControl/>
              <w:suppressLineNumbers w:val="0"/>
              <w:jc w:val="center"/>
              <w:textAlignment w:val="center"/>
              <w:rPr>
                <w:rFonts w:ascii="Times New Roman" w:hAnsi="Times New Roman" w:eastAsia="方正书宋_GBK" w:cs="方正书宋_GBK"/>
                <w:i w:val="0"/>
                <w:iCs w:val="0"/>
                <w:color w:val="000000"/>
                <w:sz w:val="24"/>
                <w:szCs w:val="24"/>
                <w:u w:val="none"/>
              </w:rPr>
            </w:pPr>
            <w:r>
              <w:rPr>
                <w:rFonts w:hint="default" w:ascii="Times New Roman" w:hAnsi="Times New Roman" w:eastAsia="方正书宋_GBK" w:cs="方正书宋_GBK"/>
                <w:i w:val="0"/>
                <w:iCs w:val="0"/>
                <w:color w:val="000000"/>
                <w:kern w:val="0"/>
                <w:sz w:val="24"/>
                <w:szCs w:val="24"/>
                <w:u w:val="none"/>
                <w:lang w:val="en-US" w:eastAsia="zh-CN" w:bidi="ar"/>
              </w:rPr>
              <w:t>序号</w:t>
            </w:r>
          </w:p>
        </w:tc>
        <w:tc>
          <w:tcPr>
            <w:tcW w:w="2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D3A72">
            <w:pPr>
              <w:keepNext w:val="0"/>
              <w:keepLines w:val="0"/>
              <w:widowControl/>
              <w:suppressLineNumbers w:val="0"/>
              <w:jc w:val="center"/>
              <w:textAlignment w:val="center"/>
              <w:rPr>
                <w:rFonts w:ascii="Times New Roman" w:hAnsi="Times New Roman" w:eastAsia="方正黑体_GBK" w:cs="方正黑体_GBK"/>
                <w:i w:val="0"/>
                <w:iCs w:val="0"/>
                <w:color w:val="000000"/>
                <w:sz w:val="24"/>
                <w:szCs w:val="24"/>
                <w:u w:val="none"/>
              </w:rPr>
            </w:pPr>
            <w:r>
              <w:rPr>
                <w:rFonts w:hint="default" w:ascii="Times New Roman" w:hAnsi="Times New Roman" w:eastAsia="方正黑体_GBK" w:cs="方正黑体_GBK"/>
                <w:i w:val="0"/>
                <w:iCs w:val="0"/>
                <w:color w:val="000000"/>
                <w:kern w:val="0"/>
                <w:sz w:val="24"/>
                <w:szCs w:val="24"/>
                <w:u w:val="none"/>
                <w:lang w:val="en-US" w:eastAsia="zh-CN" w:bidi="ar"/>
              </w:rPr>
              <w:t>项目类别</w:t>
            </w:r>
          </w:p>
        </w:tc>
        <w:tc>
          <w:tcPr>
            <w:tcW w:w="9814" w:type="dxa"/>
            <w:gridSpan w:val="3"/>
            <w:tcBorders>
              <w:top w:val="single" w:color="000000" w:sz="4" w:space="0"/>
              <w:left w:val="single" w:color="000000" w:sz="4" w:space="0"/>
              <w:bottom w:val="single" w:color="000000" w:sz="4" w:space="0"/>
              <w:right w:val="single" w:color="000000" w:sz="4" w:space="0"/>
            </w:tcBorders>
            <w:noWrap/>
            <w:vAlign w:val="center"/>
          </w:tcPr>
          <w:p w14:paraId="65EAE8E3">
            <w:pPr>
              <w:keepNext w:val="0"/>
              <w:keepLines w:val="0"/>
              <w:widowControl/>
              <w:suppressLineNumbers w:val="0"/>
              <w:jc w:val="center"/>
              <w:textAlignment w:val="center"/>
              <w:rPr>
                <w:rFonts w:hint="default" w:ascii="Times New Roman" w:hAnsi="Times New Roman" w:eastAsia="方正书宋_GBK" w:cs="方正书宋_GBK"/>
                <w:i w:val="0"/>
                <w:iCs w:val="0"/>
                <w:color w:val="000000"/>
                <w:sz w:val="24"/>
                <w:szCs w:val="24"/>
                <w:u w:val="none"/>
              </w:rPr>
            </w:pPr>
            <w:r>
              <w:rPr>
                <w:rFonts w:hint="default" w:ascii="Times New Roman" w:hAnsi="Times New Roman" w:eastAsia="方正书宋_GBK" w:cs="方正书宋_GBK"/>
                <w:i w:val="0"/>
                <w:iCs w:val="0"/>
                <w:color w:val="000000"/>
                <w:kern w:val="0"/>
                <w:sz w:val="24"/>
                <w:szCs w:val="24"/>
                <w:u w:val="none"/>
                <w:lang w:val="en-US" w:eastAsia="zh-CN" w:bidi="ar"/>
              </w:rPr>
              <w:t>申报主体</w:t>
            </w:r>
          </w:p>
        </w:tc>
        <w:tc>
          <w:tcPr>
            <w:tcW w:w="19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CA3562">
            <w:pPr>
              <w:keepNext w:val="0"/>
              <w:keepLines w:val="0"/>
              <w:widowControl/>
              <w:suppressLineNumbers w:val="0"/>
              <w:jc w:val="center"/>
              <w:textAlignment w:val="center"/>
              <w:rPr>
                <w:rFonts w:hint="default" w:ascii="Times New Roman" w:hAnsi="Times New Roman" w:eastAsia="方正黑体_GBK" w:cs="方正黑体_GBK"/>
                <w:i w:val="0"/>
                <w:iCs w:val="0"/>
                <w:color w:val="000000"/>
                <w:sz w:val="24"/>
                <w:szCs w:val="24"/>
                <w:u w:val="none"/>
              </w:rPr>
            </w:pPr>
            <w:r>
              <w:rPr>
                <w:rFonts w:hint="default" w:ascii="Times New Roman" w:hAnsi="Times New Roman" w:eastAsia="方正黑体_GBK" w:cs="方正黑体_GBK"/>
                <w:i w:val="0"/>
                <w:iCs w:val="0"/>
                <w:color w:val="000000"/>
                <w:kern w:val="0"/>
                <w:sz w:val="24"/>
                <w:szCs w:val="24"/>
                <w:u w:val="none"/>
                <w:lang w:val="en-US" w:eastAsia="zh-CN" w:bidi="ar"/>
              </w:rPr>
              <w:t>申报奖补资金</w:t>
            </w:r>
            <w:r>
              <w:rPr>
                <w:rFonts w:hint="default" w:ascii="Times New Roman" w:hAnsi="Times New Roman" w:eastAsia="方正黑体_GBK" w:cs="方正黑体_GBK"/>
                <w:i w:val="0"/>
                <w:iCs w:val="0"/>
                <w:color w:val="000000"/>
                <w:kern w:val="0"/>
                <w:sz w:val="24"/>
                <w:szCs w:val="24"/>
                <w:u w:val="none"/>
                <w:lang w:val="en-US" w:eastAsia="zh-CN" w:bidi="ar"/>
              </w:rPr>
              <w:br w:type="textWrapping"/>
            </w:r>
            <w:r>
              <w:rPr>
                <w:rFonts w:hint="default" w:ascii="Times New Roman" w:hAnsi="Times New Roman" w:eastAsia="方正黑体_GBK" w:cs="方正黑体_GBK"/>
                <w:i w:val="0"/>
                <w:iCs w:val="0"/>
                <w:color w:val="000000"/>
                <w:kern w:val="0"/>
                <w:sz w:val="24"/>
                <w:szCs w:val="24"/>
                <w:u w:val="none"/>
                <w:lang w:val="en-US" w:eastAsia="zh-CN" w:bidi="ar"/>
              </w:rPr>
              <w:t>（万元）</w:t>
            </w:r>
          </w:p>
        </w:tc>
      </w:tr>
      <w:tr w14:paraId="268F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FA58">
            <w:pPr>
              <w:jc w:val="center"/>
              <w:rPr>
                <w:rFonts w:hint="default" w:ascii="Times New Roman" w:hAnsi="Times New Roman" w:eastAsia="方正书宋_GBK" w:cs="方正书宋_GBK"/>
                <w:i w:val="0"/>
                <w:iCs w:val="0"/>
                <w:color w:val="000000"/>
                <w:sz w:val="24"/>
                <w:szCs w:val="24"/>
                <w:u w:val="none"/>
              </w:rPr>
            </w:pPr>
          </w:p>
        </w:tc>
        <w:tc>
          <w:tcPr>
            <w:tcW w:w="2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8A354">
            <w:pPr>
              <w:jc w:val="center"/>
              <w:rPr>
                <w:rFonts w:hint="default" w:ascii="Times New Roman" w:hAnsi="Times New Roman" w:eastAsia="方正黑体_GBK" w:cs="方正黑体_GBK"/>
                <w:i w:val="0"/>
                <w:iCs w:val="0"/>
                <w:color w:val="000000"/>
                <w:sz w:val="24"/>
                <w:szCs w:val="24"/>
                <w:u w:val="none"/>
              </w:rPr>
            </w:pPr>
          </w:p>
        </w:tc>
        <w:tc>
          <w:tcPr>
            <w:tcW w:w="1974" w:type="dxa"/>
            <w:tcBorders>
              <w:top w:val="single" w:color="000000" w:sz="4" w:space="0"/>
              <w:left w:val="single" w:color="000000" w:sz="4" w:space="0"/>
              <w:bottom w:val="single" w:color="000000" w:sz="4" w:space="0"/>
              <w:right w:val="single" w:color="000000" w:sz="4" w:space="0"/>
            </w:tcBorders>
            <w:noWrap/>
            <w:vAlign w:val="center"/>
          </w:tcPr>
          <w:p w14:paraId="0B4B822E">
            <w:pPr>
              <w:keepNext w:val="0"/>
              <w:keepLines w:val="0"/>
              <w:widowControl/>
              <w:suppressLineNumbers w:val="0"/>
              <w:jc w:val="center"/>
              <w:textAlignment w:val="center"/>
              <w:rPr>
                <w:rFonts w:hint="default" w:ascii="Times New Roman" w:hAnsi="Times New Roman" w:eastAsia="方正黑体_GBK" w:cs="方正黑体_GBK"/>
                <w:i w:val="0"/>
                <w:iCs w:val="0"/>
                <w:color w:val="000000"/>
                <w:sz w:val="24"/>
                <w:szCs w:val="24"/>
                <w:u w:val="none"/>
              </w:rPr>
            </w:pPr>
            <w:r>
              <w:rPr>
                <w:rFonts w:hint="default" w:ascii="Times New Roman" w:hAnsi="Times New Roman" w:eastAsia="方正黑体_GBK" w:cs="方正黑体_GBK"/>
                <w:i w:val="0"/>
                <w:iCs w:val="0"/>
                <w:color w:val="000000"/>
                <w:kern w:val="0"/>
                <w:sz w:val="24"/>
                <w:szCs w:val="24"/>
                <w:u w:val="none"/>
                <w:lang w:val="en-US" w:eastAsia="zh-CN" w:bidi="ar"/>
              </w:rPr>
              <w:t>申报主体名称</w:t>
            </w:r>
          </w:p>
        </w:tc>
        <w:tc>
          <w:tcPr>
            <w:tcW w:w="4200" w:type="dxa"/>
            <w:tcBorders>
              <w:top w:val="single" w:color="000000" w:sz="4" w:space="0"/>
              <w:left w:val="single" w:color="000000" w:sz="4" w:space="0"/>
              <w:bottom w:val="single" w:color="000000" w:sz="4" w:space="0"/>
              <w:right w:val="single" w:color="000000" w:sz="4" w:space="0"/>
            </w:tcBorders>
            <w:noWrap/>
            <w:vAlign w:val="center"/>
          </w:tcPr>
          <w:p w14:paraId="7DB18FE5">
            <w:pPr>
              <w:keepNext w:val="0"/>
              <w:keepLines w:val="0"/>
              <w:widowControl/>
              <w:suppressLineNumbers w:val="0"/>
              <w:jc w:val="center"/>
              <w:textAlignment w:val="center"/>
              <w:rPr>
                <w:rFonts w:hint="default" w:ascii="Times New Roman" w:hAnsi="Times New Roman" w:eastAsia="方正黑体_GBK" w:cs="方正黑体_GBK"/>
                <w:i w:val="0"/>
                <w:iCs w:val="0"/>
                <w:color w:val="000000"/>
                <w:sz w:val="24"/>
                <w:szCs w:val="24"/>
                <w:u w:val="none"/>
                <w:lang w:val="en-US" w:eastAsia="zh-CN"/>
              </w:rPr>
            </w:pPr>
            <w:r>
              <w:rPr>
                <w:rFonts w:hint="eastAsia" w:ascii="Times New Roman" w:hAnsi="Times New Roman" w:eastAsia="方正黑体_GBK" w:cs="方正黑体_GBK"/>
                <w:i w:val="0"/>
                <w:iCs w:val="0"/>
                <w:color w:val="000000"/>
                <w:sz w:val="24"/>
                <w:szCs w:val="24"/>
                <w:u w:val="none"/>
                <w:lang w:val="en-US" w:eastAsia="zh-CN"/>
              </w:rPr>
              <w:t>是否接入市级平台</w:t>
            </w:r>
          </w:p>
        </w:tc>
        <w:tc>
          <w:tcPr>
            <w:tcW w:w="3640" w:type="dxa"/>
            <w:tcBorders>
              <w:top w:val="single" w:color="000000" w:sz="4" w:space="0"/>
              <w:left w:val="single" w:color="000000" w:sz="4" w:space="0"/>
              <w:bottom w:val="single" w:color="000000" w:sz="4" w:space="0"/>
              <w:right w:val="single" w:color="000000" w:sz="4" w:space="0"/>
            </w:tcBorders>
            <w:noWrap/>
            <w:vAlign w:val="center"/>
          </w:tcPr>
          <w:p w14:paraId="20B170BB">
            <w:pPr>
              <w:keepNext w:val="0"/>
              <w:keepLines w:val="0"/>
              <w:widowControl/>
              <w:suppressLineNumbers w:val="0"/>
              <w:jc w:val="center"/>
              <w:textAlignment w:val="center"/>
              <w:rPr>
                <w:rFonts w:hint="default" w:ascii="Times New Roman" w:hAnsi="Times New Roman" w:eastAsia="方正黑体_GBK" w:cs="方正黑体_GBK"/>
                <w:i w:val="0"/>
                <w:iCs w:val="0"/>
                <w:color w:val="000000"/>
                <w:sz w:val="24"/>
                <w:szCs w:val="24"/>
                <w:u w:val="none"/>
              </w:rPr>
            </w:pPr>
            <w:r>
              <w:rPr>
                <w:rFonts w:hint="default" w:ascii="Times New Roman" w:hAnsi="Times New Roman" w:eastAsia="方正黑体_GBK" w:cs="方正黑体_GBK"/>
                <w:i w:val="0"/>
                <w:iCs w:val="0"/>
                <w:color w:val="000000"/>
                <w:kern w:val="0"/>
                <w:sz w:val="24"/>
                <w:szCs w:val="24"/>
                <w:u w:val="none"/>
                <w:lang w:val="en-US" w:eastAsia="zh-CN" w:bidi="ar"/>
              </w:rPr>
              <w:t>建设内容</w:t>
            </w:r>
          </w:p>
        </w:tc>
        <w:tc>
          <w:tcPr>
            <w:tcW w:w="19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FFD75">
            <w:pPr>
              <w:jc w:val="center"/>
              <w:rPr>
                <w:rFonts w:hint="default" w:ascii="Times New Roman" w:hAnsi="Times New Roman" w:eastAsia="方正黑体_GBK" w:cs="方正黑体_GBK"/>
                <w:i w:val="0"/>
                <w:iCs w:val="0"/>
                <w:color w:val="000000"/>
                <w:sz w:val="24"/>
                <w:szCs w:val="24"/>
                <w:u w:val="none"/>
              </w:rPr>
            </w:pPr>
          </w:p>
        </w:tc>
      </w:tr>
      <w:tr w14:paraId="2D89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4" w:type="dxa"/>
            <w:tcBorders>
              <w:top w:val="single" w:color="000000" w:sz="4" w:space="0"/>
              <w:left w:val="single" w:color="000000" w:sz="4" w:space="0"/>
              <w:bottom w:val="single" w:color="auto" w:sz="4" w:space="0"/>
              <w:right w:val="single" w:color="000000" w:sz="4" w:space="0"/>
            </w:tcBorders>
            <w:noWrap w:val="0"/>
            <w:vAlign w:val="center"/>
          </w:tcPr>
          <w:p w14:paraId="16C330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382" w:type="dxa"/>
            <w:vMerge w:val="restart"/>
            <w:tcBorders>
              <w:top w:val="single" w:color="000000" w:sz="4" w:space="0"/>
              <w:left w:val="single" w:color="000000" w:sz="4" w:space="0"/>
              <w:right w:val="single" w:color="000000" w:sz="4" w:space="0"/>
            </w:tcBorders>
            <w:noWrap w:val="0"/>
            <w:vAlign w:val="center"/>
          </w:tcPr>
          <w:p w14:paraId="357842E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i w:val="0"/>
                <w:iCs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iCs w:val="0"/>
                <w:caps w:val="0"/>
                <w:color w:val="auto"/>
                <w:spacing w:val="0"/>
                <w:sz w:val="24"/>
                <w:szCs w:val="24"/>
                <w:shd w:val="clear" w:color="auto" w:fill="FFFFFF"/>
                <w:vertAlign w:val="baseline"/>
                <w:lang w:val="en-US" w:eastAsia="zh-CN"/>
              </w:rPr>
              <w:t>公用充电基础设施</w:t>
            </w:r>
          </w:p>
          <w:p w14:paraId="4987503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i w:val="0"/>
                <w:iCs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iCs w:val="0"/>
                <w:caps w:val="0"/>
                <w:color w:val="auto"/>
                <w:spacing w:val="0"/>
                <w:sz w:val="24"/>
                <w:szCs w:val="24"/>
                <w:shd w:val="clear" w:color="auto" w:fill="FFFFFF"/>
                <w:vertAlign w:val="baseline"/>
                <w:lang w:val="en-US" w:eastAsia="zh-CN"/>
              </w:rPr>
              <w:t>运营奖补项目</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1946625">
            <w:pPr>
              <w:jc w:val="left"/>
              <w:rPr>
                <w:rFonts w:hint="default" w:ascii="Times New Roman" w:hAnsi="Times New Roman" w:eastAsia="宋体" w:cs="Times New Roman"/>
                <w:i w:val="0"/>
                <w:iCs w:val="0"/>
                <w:color w:val="000000"/>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C9AC0B8">
            <w:pPr>
              <w:jc w:val="left"/>
              <w:rPr>
                <w:rFonts w:hint="eastAsia"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是，接入日期：    年 月 日</w:t>
            </w:r>
          </w:p>
          <w:p w14:paraId="0F0B5E62">
            <w:pPr>
              <w:jc w:val="left"/>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否，预计接入日期：    年 月 日</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5CB24115">
            <w:pPr>
              <w:jc w:val="left"/>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直流桩：  个、     千瓦</w:t>
            </w:r>
          </w:p>
          <w:p w14:paraId="012D2F3B">
            <w:pPr>
              <w:jc w:val="left"/>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交流桩：   个、    千瓦</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0338DF5A">
            <w:pPr>
              <w:jc w:val="right"/>
              <w:rPr>
                <w:rFonts w:hint="default" w:ascii="Times New Roman" w:hAnsi="Times New Roman" w:eastAsia="宋体" w:cs="Times New Roman"/>
                <w:i w:val="0"/>
                <w:iCs w:val="0"/>
                <w:color w:val="000000"/>
                <w:sz w:val="24"/>
                <w:szCs w:val="24"/>
                <w:u w:val="none"/>
              </w:rPr>
            </w:pPr>
          </w:p>
        </w:tc>
      </w:tr>
      <w:tr w14:paraId="2EA6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4" w:type="dxa"/>
            <w:tcBorders>
              <w:top w:val="single" w:color="auto" w:sz="4" w:space="0"/>
              <w:left w:val="single" w:color="000000" w:sz="4" w:space="0"/>
              <w:bottom w:val="single" w:color="auto" w:sz="4" w:space="0"/>
              <w:right w:val="single" w:color="000000" w:sz="4" w:space="0"/>
            </w:tcBorders>
            <w:noWrap w:val="0"/>
            <w:vAlign w:val="center"/>
          </w:tcPr>
          <w:p w14:paraId="0F9D00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82" w:type="dxa"/>
            <w:vMerge w:val="continue"/>
            <w:tcBorders>
              <w:left w:val="single" w:color="000000" w:sz="4" w:space="0"/>
              <w:bottom w:val="single" w:color="auto" w:sz="4" w:space="0"/>
              <w:right w:val="single" w:color="000000" w:sz="4" w:space="0"/>
            </w:tcBorders>
            <w:noWrap w:val="0"/>
            <w:vAlign w:val="center"/>
          </w:tcPr>
          <w:p w14:paraId="2A881278">
            <w:pPr>
              <w:jc w:val="left"/>
              <w:rPr>
                <w:rFonts w:hint="default" w:ascii="Times New Roman" w:hAnsi="Times New Roman" w:eastAsia="方正书宋_GBK" w:cs="方正书宋_GBK"/>
                <w:i w:val="0"/>
                <w:iCs w:val="0"/>
                <w:color w:val="000000"/>
                <w:sz w:val="24"/>
                <w:szCs w:val="24"/>
                <w:u w:val="none"/>
              </w:rPr>
            </w:pP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02565B2">
            <w:pPr>
              <w:jc w:val="left"/>
              <w:rPr>
                <w:rFonts w:hint="default" w:ascii="Times New Roman" w:hAnsi="Times New Roman" w:eastAsia="宋体" w:cs="Times New Roman"/>
                <w:i w:val="0"/>
                <w:iCs w:val="0"/>
                <w:color w:val="000000"/>
                <w:sz w:val="24"/>
                <w:szCs w:val="24"/>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CF81D4B">
            <w:pPr>
              <w:jc w:val="left"/>
              <w:rPr>
                <w:rFonts w:hint="eastAsia"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是，接入日期：    年 月 日</w:t>
            </w:r>
          </w:p>
          <w:p w14:paraId="7E689153">
            <w:pPr>
              <w:jc w:val="lef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否，预计接入日期：    年 月 日</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26643D16">
            <w:pPr>
              <w:jc w:val="left"/>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直流桩：  个、     千瓦</w:t>
            </w:r>
          </w:p>
          <w:p w14:paraId="5B621E69">
            <w:pPr>
              <w:jc w:val="left"/>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交流桩：   个、    千瓦</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43A810CD">
            <w:pPr>
              <w:jc w:val="right"/>
              <w:rPr>
                <w:rFonts w:hint="default" w:ascii="Times New Roman" w:hAnsi="Times New Roman" w:eastAsia="宋体" w:cs="Times New Roman"/>
                <w:i w:val="0"/>
                <w:iCs w:val="0"/>
                <w:color w:val="000000"/>
                <w:sz w:val="24"/>
                <w:szCs w:val="24"/>
                <w:u w:val="none"/>
              </w:rPr>
            </w:pPr>
          </w:p>
        </w:tc>
      </w:tr>
      <w:tr w14:paraId="079A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44" w:type="dxa"/>
            <w:tcBorders>
              <w:top w:val="single" w:color="auto" w:sz="4" w:space="0"/>
              <w:left w:val="single" w:color="000000" w:sz="4" w:space="0"/>
              <w:bottom w:val="single" w:color="auto" w:sz="4" w:space="0"/>
              <w:right w:val="single" w:color="000000" w:sz="4" w:space="0"/>
            </w:tcBorders>
            <w:noWrap w:val="0"/>
            <w:vAlign w:val="center"/>
          </w:tcPr>
          <w:p w14:paraId="7D9A0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82" w:type="dxa"/>
            <w:vMerge w:val="restart"/>
            <w:tcBorders>
              <w:top w:val="single" w:color="auto" w:sz="4" w:space="0"/>
              <w:left w:val="single" w:color="000000" w:sz="4" w:space="0"/>
              <w:right w:val="single" w:color="000000" w:sz="4" w:space="0"/>
            </w:tcBorders>
            <w:noWrap w:val="0"/>
            <w:vAlign w:val="center"/>
          </w:tcPr>
          <w:p w14:paraId="001C026B">
            <w:pPr>
              <w:jc w:val="left"/>
              <w:rPr>
                <w:rFonts w:hint="default" w:ascii="Times New Roman" w:hAnsi="Times New Roman" w:eastAsia="方正书宋_GBK" w:cs="方正书宋_GBK"/>
                <w:i w:val="0"/>
                <w:iCs w:val="0"/>
                <w:color w:val="000000"/>
                <w:sz w:val="20"/>
                <w:szCs w:val="20"/>
                <w:u w:val="none"/>
              </w:rPr>
            </w:pPr>
            <w:r>
              <w:rPr>
                <w:rFonts w:hint="default" w:ascii="Times New Roman" w:hAnsi="Times New Roman" w:eastAsia="仿宋_GB2312" w:cs="仿宋_GB2312"/>
                <w:i w:val="0"/>
                <w:iCs w:val="0"/>
                <w:caps w:val="0"/>
                <w:color w:val="auto"/>
                <w:spacing w:val="0"/>
                <w:sz w:val="24"/>
                <w:szCs w:val="24"/>
                <w:shd w:val="clear" w:color="auto" w:fill="FFFFFF"/>
                <w:vertAlign w:val="baseline"/>
                <w:lang w:val="en-US" w:eastAsia="zh-CN"/>
              </w:rPr>
              <w:t>公用充（换）电基础设施建设奖补项目</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418721D">
            <w:pPr>
              <w:jc w:val="left"/>
              <w:rPr>
                <w:rFonts w:hint="default" w:ascii="Times New Roman" w:hAnsi="Times New Roman" w:eastAsia="宋体" w:cs="Times New Roman"/>
                <w:i w:val="0"/>
                <w:iCs w:val="0"/>
                <w:color w:val="000000"/>
                <w:sz w:val="20"/>
                <w:szCs w:val="20"/>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4FB1FA5">
            <w:pPr>
              <w:jc w:val="left"/>
              <w:rPr>
                <w:rFonts w:hint="eastAsia"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是，接入日期：    年 月 日</w:t>
            </w:r>
          </w:p>
          <w:p w14:paraId="117BE5B5">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否，预计接入日期：    年 月 日</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28D50D69">
            <w:pPr>
              <w:jc w:val="left"/>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直流桩：  个、预计   千瓦时</w:t>
            </w:r>
          </w:p>
          <w:p w14:paraId="262AC982">
            <w:pPr>
              <w:jc w:val="left"/>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交流桩：  个、预计   千瓦时</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540FF9E2">
            <w:pPr>
              <w:jc w:val="right"/>
              <w:rPr>
                <w:rFonts w:hint="default" w:ascii="Times New Roman" w:hAnsi="Times New Roman" w:eastAsia="宋体" w:cs="Times New Roman"/>
                <w:i w:val="0"/>
                <w:iCs w:val="0"/>
                <w:color w:val="000000"/>
                <w:sz w:val="20"/>
                <w:szCs w:val="20"/>
                <w:u w:val="none"/>
              </w:rPr>
            </w:pPr>
          </w:p>
        </w:tc>
      </w:tr>
      <w:tr w14:paraId="7AE6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44" w:type="dxa"/>
            <w:tcBorders>
              <w:top w:val="single" w:color="auto" w:sz="4" w:space="0"/>
              <w:left w:val="single" w:color="000000" w:sz="4" w:space="0"/>
              <w:bottom w:val="single" w:color="auto" w:sz="4" w:space="0"/>
              <w:right w:val="single" w:color="000000" w:sz="4" w:space="0"/>
            </w:tcBorders>
            <w:noWrap w:val="0"/>
            <w:vAlign w:val="center"/>
          </w:tcPr>
          <w:p w14:paraId="106DADF4">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4</w:t>
            </w:r>
          </w:p>
        </w:tc>
        <w:tc>
          <w:tcPr>
            <w:tcW w:w="2382" w:type="dxa"/>
            <w:vMerge w:val="continue"/>
            <w:tcBorders>
              <w:left w:val="single" w:color="000000" w:sz="4" w:space="0"/>
              <w:bottom w:val="single" w:color="auto" w:sz="4" w:space="0"/>
              <w:right w:val="single" w:color="000000" w:sz="4" w:space="0"/>
            </w:tcBorders>
            <w:noWrap w:val="0"/>
            <w:vAlign w:val="center"/>
          </w:tcPr>
          <w:p w14:paraId="630A1318">
            <w:pPr>
              <w:jc w:val="left"/>
              <w:rPr>
                <w:rFonts w:hint="default" w:ascii="Times New Roman" w:hAnsi="Times New Roman" w:eastAsia="方正书宋_GBK" w:cs="方正书宋_GBK"/>
                <w:i w:val="0"/>
                <w:iCs w:val="0"/>
                <w:color w:val="000000"/>
                <w:sz w:val="20"/>
                <w:szCs w:val="20"/>
                <w:u w:val="none"/>
              </w:rPr>
            </w:pPr>
          </w:p>
        </w:tc>
        <w:tc>
          <w:tcPr>
            <w:tcW w:w="1974" w:type="dxa"/>
            <w:tcBorders>
              <w:top w:val="single" w:color="000000" w:sz="4" w:space="0"/>
              <w:left w:val="single" w:color="000000" w:sz="4" w:space="0"/>
              <w:bottom w:val="single" w:color="auto" w:sz="4" w:space="0"/>
              <w:right w:val="single" w:color="000000" w:sz="4" w:space="0"/>
            </w:tcBorders>
            <w:noWrap w:val="0"/>
            <w:vAlign w:val="center"/>
          </w:tcPr>
          <w:p w14:paraId="24FF5D38">
            <w:pPr>
              <w:jc w:val="left"/>
              <w:rPr>
                <w:rFonts w:hint="default" w:ascii="Times New Roman" w:hAnsi="Times New Roman" w:eastAsia="宋体" w:cs="Times New Roman"/>
                <w:i w:val="0"/>
                <w:iCs w:val="0"/>
                <w:color w:val="000000"/>
                <w:sz w:val="20"/>
                <w:szCs w:val="20"/>
                <w:u w:val="none"/>
              </w:rPr>
            </w:pP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29B6E52B">
            <w:pPr>
              <w:jc w:val="left"/>
              <w:rPr>
                <w:rFonts w:hint="eastAsia"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是，接入日期：    年 月 日</w:t>
            </w:r>
          </w:p>
          <w:p w14:paraId="0F29200E">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4"/>
                <w:szCs w:val="24"/>
                <w:u w:val="none"/>
                <w:lang w:val="en-US" w:eastAsia="zh-CN"/>
              </w:rPr>
              <w:sym w:font="Wingdings 2" w:char="00A3"/>
            </w:r>
            <w:r>
              <w:rPr>
                <w:rFonts w:hint="eastAsia" w:ascii="Times New Roman" w:hAnsi="Times New Roman" w:eastAsia="宋体" w:cs="Times New Roman"/>
                <w:i w:val="0"/>
                <w:iCs w:val="0"/>
                <w:color w:val="000000"/>
                <w:sz w:val="24"/>
                <w:szCs w:val="24"/>
                <w:u w:val="none"/>
                <w:lang w:val="en-US" w:eastAsia="zh-CN"/>
              </w:rPr>
              <w:t>否，预计接入日期：    年 月 日</w:t>
            </w:r>
          </w:p>
        </w:tc>
        <w:tc>
          <w:tcPr>
            <w:tcW w:w="3640" w:type="dxa"/>
            <w:tcBorders>
              <w:top w:val="single" w:color="000000" w:sz="4" w:space="0"/>
              <w:left w:val="single" w:color="000000" w:sz="4" w:space="0"/>
              <w:bottom w:val="single" w:color="auto" w:sz="4" w:space="0"/>
              <w:right w:val="single" w:color="000000" w:sz="4" w:space="0"/>
            </w:tcBorders>
            <w:noWrap w:val="0"/>
            <w:vAlign w:val="center"/>
          </w:tcPr>
          <w:p w14:paraId="11F77F0B">
            <w:pPr>
              <w:jc w:val="left"/>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直流桩：  个、预计   千瓦时</w:t>
            </w:r>
          </w:p>
          <w:p w14:paraId="12FAE8AE">
            <w:pPr>
              <w:jc w:val="left"/>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4"/>
                <w:szCs w:val="24"/>
                <w:u w:val="none"/>
                <w:lang w:val="en-US" w:eastAsia="zh-CN"/>
              </w:rPr>
              <w:t>交流桩：  个、预计   千瓦时</w:t>
            </w:r>
          </w:p>
        </w:tc>
        <w:tc>
          <w:tcPr>
            <w:tcW w:w="1940" w:type="dxa"/>
            <w:tcBorders>
              <w:top w:val="single" w:color="000000" w:sz="4" w:space="0"/>
              <w:left w:val="single" w:color="000000" w:sz="4" w:space="0"/>
              <w:bottom w:val="single" w:color="auto" w:sz="4" w:space="0"/>
              <w:right w:val="single" w:color="000000" w:sz="4" w:space="0"/>
            </w:tcBorders>
            <w:noWrap w:val="0"/>
            <w:vAlign w:val="center"/>
          </w:tcPr>
          <w:p w14:paraId="1D94AD3C">
            <w:pPr>
              <w:jc w:val="right"/>
              <w:rPr>
                <w:rFonts w:hint="default" w:ascii="Times New Roman" w:hAnsi="Times New Roman" w:eastAsia="宋体" w:cs="Times New Roman"/>
                <w:i w:val="0"/>
                <w:iCs w:val="0"/>
                <w:color w:val="000000"/>
                <w:sz w:val="20"/>
                <w:szCs w:val="20"/>
                <w:u w:val="none"/>
              </w:rPr>
            </w:pPr>
          </w:p>
        </w:tc>
      </w:tr>
      <w:tr w14:paraId="3C58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644" w:type="dxa"/>
            <w:tcBorders>
              <w:top w:val="single" w:color="auto" w:sz="4" w:space="0"/>
              <w:left w:val="single" w:color="000000" w:sz="4" w:space="0"/>
              <w:bottom w:val="single" w:color="auto" w:sz="4" w:space="0"/>
              <w:right w:val="single" w:color="000000" w:sz="4" w:space="0"/>
            </w:tcBorders>
            <w:noWrap w:val="0"/>
            <w:vAlign w:val="center"/>
          </w:tcPr>
          <w:p w14:paraId="4B78118E">
            <w:pPr>
              <w:keepNext w:val="0"/>
              <w:keepLines w:val="0"/>
              <w:widowControl/>
              <w:suppressLineNumbers w:val="0"/>
              <w:jc w:val="center"/>
              <w:textAlignment w:val="center"/>
              <w:rPr>
                <w:rFonts w:hint="default"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w:t>
            </w:r>
          </w:p>
        </w:tc>
        <w:tc>
          <w:tcPr>
            <w:tcW w:w="2382" w:type="dxa"/>
            <w:tcBorders>
              <w:top w:val="single" w:color="auto" w:sz="4" w:space="0"/>
              <w:left w:val="single" w:color="000000" w:sz="4" w:space="0"/>
              <w:bottom w:val="single" w:color="auto" w:sz="4" w:space="0"/>
              <w:right w:val="single" w:color="000000" w:sz="4" w:space="0"/>
            </w:tcBorders>
            <w:noWrap w:val="0"/>
            <w:vAlign w:val="center"/>
          </w:tcPr>
          <w:p w14:paraId="5A4419B9">
            <w:pPr>
              <w:jc w:val="left"/>
              <w:rPr>
                <w:rFonts w:hint="default" w:ascii="Times New Roman" w:hAnsi="Times New Roman" w:eastAsia="方正书宋_GBK" w:cs="方正书宋_GBK"/>
                <w:i w:val="0"/>
                <w:iCs w:val="0"/>
                <w:color w:val="000000"/>
                <w:sz w:val="20"/>
                <w:szCs w:val="20"/>
                <w:u w:val="none"/>
              </w:rPr>
            </w:pPr>
            <w:r>
              <w:rPr>
                <w:rFonts w:hint="default" w:ascii="Times New Roman" w:hAnsi="Times New Roman" w:eastAsia="仿宋_GB2312" w:cs="仿宋_GB2312"/>
                <w:i w:val="0"/>
                <w:iCs w:val="0"/>
                <w:caps w:val="0"/>
                <w:color w:val="auto"/>
                <w:spacing w:val="0"/>
                <w:sz w:val="24"/>
                <w:szCs w:val="24"/>
                <w:shd w:val="clear" w:color="auto" w:fill="FFFFFF"/>
                <w:vertAlign w:val="baseline"/>
                <w:lang w:val="en-US" w:eastAsia="zh-CN"/>
              </w:rPr>
              <w:t>车联网新型基础设施建设奖补项目</w:t>
            </w:r>
          </w:p>
        </w:tc>
        <w:tc>
          <w:tcPr>
            <w:tcW w:w="1974" w:type="dxa"/>
            <w:tcBorders>
              <w:top w:val="single" w:color="auto" w:sz="4" w:space="0"/>
              <w:left w:val="single" w:color="000000" w:sz="4" w:space="0"/>
              <w:bottom w:val="single" w:color="auto" w:sz="4" w:space="0"/>
              <w:right w:val="single" w:color="000000" w:sz="4" w:space="0"/>
            </w:tcBorders>
            <w:noWrap w:val="0"/>
            <w:vAlign w:val="center"/>
          </w:tcPr>
          <w:p w14:paraId="5DCF0F7F">
            <w:pPr>
              <w:jc w:val="left"/>
              <w:rPr>
                <w:rFonts w:hint="default" w:ascii="Times New Roman" w:hAnsi="Times New Roman" w:eastAsia="宋体" w:cs="Times New Roman"/>
                <w:i w:val="0"/>
                <w:iCs w:val="0"/>
                <w:color w:val="000000"/>
                <w:sz w:val="20"/>
                <w:szCs w:val="20"/>
                <w:u w:val="none"/>
              </w:rPr>
            </w:pPr>
          </w:p>
        </w:tc>
        <w:tc>
          <w:tcPr>
            <w:tcW w:w="4200" w:type="dxa"/>
            <w:tcBorders>
              <w:top w:val="single" w:color="auto" w:sz="4" w:space="0"/>
              <w:left w:val="single" w:color="000000" w:sz="4" w:space="0"/>
              <w:bottom w:val="single" w:color="auto" w:sz="4" w:space="0"/>
              <w:right w:val="single" w:color="000000" w:sz="4" w:space="0"/>
            </w:tcBorders>
            <w:noWrap w:val="0"/>
            <w:vAlign w:val="center"/>
          </w:tcPr>
          <w:p w14:paraId="656625DE">
            <w:pPr>
              <w:jc w:val="left"/>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4"/>
                <w:szCs w:val="24"/>
                <w:u w:val="none"/>
                <w:lang w:val="en-US" w:eastAsia="zh-CN"/>
              </w:rPr>
              <w:t>纳入市智能网联汽车公开道路测试路段（  年，第  批）</w:t>
            </w:r>
          </w:p>
        </w:tc>
        <w:tc>
          <w:tcPr>
            <w:tcW w:w="3640" w:type="dxa"/>
            <w:tcBorders>
              <w:top w:val="single" w:color="auto" w:sz="4" w:space="0"/>
              <w:left w:val="single" w:color="000000" w:sz="4" w:space="0"/>
              <w:bottom w:val="single" w:color="auto" w:sz="4" w:space="0"/>
              <w:right w:val="single" w:color="000000" w:sz="4" w:space="0"/>
            </w:tcBorders>
            <w:noWrap w:val="0"/>
            <w:vAlign w:val="center"/>
          </w:tcPr>
          <w:p w14:paraId="423E61C4">
            <w:pPr>
              <w:jc w:val="left"/>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4"/>
                <w:szCs w:val="24"/>
                <w:u w:val="none"/>
                <w:lang w:val="en-US" w:eastAsia="zh-CN"/>
              </w:rPr>
              <w:t>路侧RSU设备:   个、车载OBU设备：  个等量化数据指标内容</w:t>
            </w:r>
          </w:p>
        </w:tc>
        <w:tc>
          <w:tcPr>
            <w:tcW w:w="1940" w:type="dxa"/>
            <w:tcBorders>
              <w:top w:val="single" w:color="auto" w:sz="4" w:space="0"/>
              <w:left w:val="single" w:color="000000" w:sz="4" w:space="0"/>
              <w:bottom w:val="single" w:color="auto" w:sz="4" w:space="0"/>
              <w:right w:val="single" w:color="000000" w:sz="4" w:space="0"/>
            </w:tcBorders>
            <w:noWrap w:val="0"/>
            <w:vAlign w:val="center"/>
          </w:tcPr>
          <w:p w14:paraId="6B1521F8">
            <w:pPr>
              <w:jc w:val="right"/>
              <w:rPr>
                <w:rFonts w:hint="default" w:ascii="Times New Roman" w:hAnsi="Times New Roman" w:eastAsia="宋体" w:cs="Times New Roman"/>
                <w:i w:val="0"/>
                <w:iCs w:val="0"/>
                <w:color w:val="000000"/>
                <w:sz w:val="20"/>
                <w:szCs w:val="20"/>
                <w:u w:val="none"/>
              </w:rPr>
            </w:pPr>
          </w:p>
        </w:tc>
      </w:tr>
    </w:tbl>
    <w:p w14:paraId="5346DF4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项目征集汇总表</w:t>
      </w:r>
    </w:p>
    <w:p w14:paraId="1A22021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填报单位：（盖章）</w:t>
      </w:r>
    </w:p>
    <w:p w14:paraId="45D7D63B">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eastAsia"/>
          <w:lang w:val="en-US" w:eastAsia="zh-CN"/>
        </w:rPr>
      </w:pPr>
    </w:p>
    <w:sectPr>
      <w:pgSz w:w="16838" w:h="11906" w:orient="landscape"/>
      <w:pgMar w:top="1474" w:right="2098" w:bottom="1474" w:left="1984" w:header="851" w:footer="992" w:gutter="0"/>
      <w:pgNumType w:fmt="decimal"/>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004020204"/>
    <w:charset w:val="00"/>
    <w:family w:val="roman"/>
    <w:pitch w:val="default"/>
    <w:sig w:usb0="00000000" w:usb1="00000000" w:usb2="0A246029" w:usb3="0400200C" w:csb0="600001FF" w:csb1="D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759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1C30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91C30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ZDI2OTQ4ZTNiODBjZjI4OWFhNGY4YWE3YjNhYjQifQ=="/>
    <w:docVar w:name="KSO_WPS_MARK_KEY" w:val="3329fa3f-7112-461e-be67-9487dea1d986"/>
  </w:docVars>
  <w:rsids>
    <w:rsidRoot w:val="372C250B"/>
    <w:rsid w:val="02D34C8B"/>
    <w:rsid w:val="03E40BDF"/>
    <w:rsid w:val="053D5E48"/>
    <w:rsid w:val="07226806"/>
    <w:rsid w:val="076F13FF"/>
    <w:rsid w:val="097732AC"/>
    <w:rsid w:val="0A7D5C9B"/>
    <w:rsid w:val="0B1C7200"/>
    <w:rsid w:val="0BAE0408"/>
    <w:rsid w:val="0BEE4DC1"/>
    <w:rsid w:val="0E2350DD"/>
    <w:rsid w:val="0FE70C3A"/>
    <w:rsid w:val="10681FB6"/>
    <w:rsid w:val="10E943BC"/>
    <w:rsid w:val="10F55CB5"/>
    <w:rsid w:val="129C0FBA"/>
    <w:rsid w:val="16150C69"/>
    <w:rsid w:val="17D874E8"/>
    <w:rsid w:val="18EA3FB7"/>
    <w:rsid w:val="192D0BBE"/>
    <w:rsid w:val="19EC6CCB"/>
    <w:rsid w:val="1A966EFC"/>
    <w:rsid w:val="1CFC7C82"/>
    <w:rsid w:val="1D3249F5"/>
    <w:rsid w:val="1EBC6080"/>
    <w:rsid w:val="1F120F82"/>
    <w:rsid w:val="20B43394"/>
    <w:rsid w:val="23241284"/>
    <w:rsid w:val="240A1D79"/>
    <w:rsid w:val="24EC4023"/>
    <w:rsid w:val="27044E2E"/>
    <w:rsid w:val="293C09E9"/>
    <w:rsid w:val="2940523A"/>
    <w:rsid w:val="297703E6"/>
    <w:rsid w:val="2A0354C9"/>
    <w:rsid w:val="2A9C2048"/>
    <w:rsid w:val="2B201A12"/>
    <w:rsid w:val="2DA134D1"/>
    <w:rsid w:val="307A6987"/>
    <w:rsid w:val="318B6972"/>
    <w:rsid w:val="31B21CF7"/>
    <w:rsid w:val="32287F91"/>
    <w:rsid w:val="32781973"/>
    <w:rsid w:val="335F55D5"/>
    <w:rsid w:val="35C2496A"/>
    <w:rsid w:val="372C250B"/>
    <w:rsid w:val="3731735A"/>
    <w:rsid w:val="38CF2EE1"/>
    <w:rsid w:val="39633218"/>
    <w:rsid w:val="39AE1450"/>
    <w:rsid w:val="39B91F9E"/>
    <w:rsid w:val="3C4E4E82"/>
    <w:rsid w:val="3ECE409C"/>
    <w:rsid w:val="42086B13"/>
    <w:rsid w:val="4349650B"/>
    <w:rsid w:val="43F50C82"/>
    <w:rsid w:val="44321F75"/>
    <w:rsid w:val="44EB79FC"/>
    <w:rsid w:val="460D7E3D"/>
    <w:rsid w:val="470E2E4B"/>
    <w:rsid w:val="47946129"/>
    <w:rsid w:val="484F663C"/>
    <w:rsid w:val="4948541D"/>
    <w:rsid w:val="4B093D28"/>
    <w:rsid w:val="4C115F9A"/>
    <w:rsid w:val="4D844304"/>
    <w:rsid w:val="4DAB5F7A"/>
    <w:rsid w:val="4E571336"/>
    <w:rsid w:val="4F3E0BFA"/>
    <w:rsid w:val="4F4641AC"/>
    <w:rsid w:val="508126D0"/>
    <w:rsid w:val="51285406"/>
    <w:rsid w:val="51D92F24"/>
    <w:rsid w:val="520F24BE"/>
    <w:rsid w:val="5270461F"/>
    <w:rsid w:val="534E0C1A"/>
    <w:rsid w:val="5365039E"/>
    <w:rsid w:val="53EC2287"/>
    <w:rsid w:val="55537877"/>
    <w:rsid w:val="57E4741F"/>
    <w:rsid w:val="59405298"/>
    <w:rsid w:val="5B1D5C48"/>
    <w:rsid w:val="5BBB4CA5"/>
    <w:rsid w:val="5C961BA3"/>
    <w:rsid w:val="5D7B50FD"/>
    <w:rsid w:val="5E7E3676"/>
    <w:rsid w:val="60EC41DC"/>
    <w:rsid w:val="61136FAB"/>
    <w:rsid w:val="61AA5335"/>
    <w:rsid w:val="61F61177"/>
    <w:rsid w:val="641674BF"/>
    <w:rsid w:val="655A2308"/>
    <w:rsid w:val="65714660"/>
    <w:rsid w:val="66E42D65"/>
    <w:rsid w:val="67BA4B6E"/>
    <w:rsid w:val="690D65F8"/>
    <w:rsid w:val="6B8E2D0B"/>
    <w:rsid w:val="6C1A5414"/>
    <w:rsid w:val="6C7A6DEC"/>
    <w:rsid w:val="6E2E1366"/>
    <w:rsid w:val="6F7246F2"/>
    <w:rsid w:val="708446DD"/>
    <w:rsid w:val="724C46A4"/>
    <w:rsid w:val="72A74A00"/>
    <w:rsid w:val="7358593F"/>
    <w:rsid w:val="73A647AE"/>
    <w:rsid w:val="73D22D1E"/>
    <w:rsid w:val="7597599D"/>
    <w:rsid w:val="76257DC8"/>
    <w:rsid w:val="766363D5"/>
    <w:rsid w:val="766D40C1"/>
    <w:rsid w:val="77387FCF"/>
    <w:rsid w:val="791A3E30"/>
    <w:rsid w:val="793F3897"/>
    <w:rsid w:val="7AC50DC7"/>
    <w:rsid w:val="7B5418E3"/>
    <w:rsid w:val="7B655323"/>
    <w:rsid w:val="7E6B47E6"/>
    <w:rsid w:val="7F637ADA"/>
    <w:rsid w:val="7F8D3343"/>
    <w:rsid w:val="7FA376C1"/>
    <w:rsid w:val="7FB2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Title"/>
    <w:next w:val="1"/>
    <w:qFormat/>
    <w:uiPriority w:val="0"/>
    <w:pPr>
      <w:widowControl w:val="0"/>
      <w:spacing w:before="240" w:beforeLines="0" w:beforeAutospacing="0" w:after="60" w:afterLines="0" w:afterAutospacing="0"/>
      <w:jc w:val="center"/>
      <w:outlineLvl w:val="0"/>
    </w:pPr>
    <w:rPr>
      <w:rFonts w:ascii="DejaVu Sans" w:hAnsi="DejaVu Sans" w:eastAsia="宋体" w:cs="Times New Roman"/>
      <w:b/>
      <w:kern w:val="2"/>
      <w:sz w:val="44"/>
      <w:szCs w:val="24"/>
      <w:lang w:val="en-US" w:eastAsia="zh-CN" w:bidi="ar-SA"/>
    </w:rPr>
  </w:style>
  <w:style w:type="paragraph" w:styleId="5">
    <w:name w:val="Body Text Indent"/>
    <w:next w:val="6"/>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envelope return"/>
    <w:qFormat/>
    <w:uiPriority w:val="99"/>
    <w:pPr>
      <w:widowControl w:val="0"/>
      <w:snapToGrid w:val="0"/>
      <w:jc w:val="both"/>
    </w:pPr>
    <w:rPr>
      <w:rFonts w:ascii="Arial" w:hAnsi="Arial" w:cs="Arial" w:eastAsiaTheme="minorEastAsia"/>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next w:val="3"/>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10">
    <w:name w:val="Body Text First Indent 2"/>
    <w:qFormat/>
    <w:uiPriority w:val="0"/>
    <w:pPr>
      <w:widowControl w:val="0"/>
      <w:spacing w:after="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Heading2"/>
    <w:basedOn w:val="1"/>
    <w:next w:val="1"/>
    <w:qFormat/>
    <w:uiPriority w:val="0"/>
    <w:pPr>
      <w:keepNext/>
      <w:keepLines/>
      <w:spacing w:before="260" w:after="260" w:line="416" w:lineRule="auto"/>
      <w:jc w:val="both"/>
      <w:textAlignment w:val="baseline"/>
    </w:pPr>
    <w:rPr>
      <w:rFonts w:ascii="Cambria" w:hAnsi="Cambria" w:cs="Cambria"/>
      <w:b/>
      <w:bCs/>
      <w:kern w:val="2"/>
      <w:sz w:val="32"/>
      <w:szCs w:val="32"/>
      <w:lang w:val="en-US" w:eastAsia="zh-CN" w:bidi="ar-SA"/>
    </w:rPr>
  </w:style>
  <w:style w:type="paragraph" w:customStyle="1" w:styleId="16">
    <w:name w:val="样式1"/>
    <w:basedOn w:val="1"/>
    <w:qFormat/>
    <w:uiPriority w:val="0"/>
    <w:pPr>
      <w:spacing w:line="600" w:lineRule="exact"/>
      <w:ind w:firstLine="412" w:firstLineChars="200"/>
    </w:pPr>
    <w:rPr>
      <w:rFonts w:eastAsia="仿宋_GB2312" w:cs="仿宋_GB2312" w:asciiTheme="minorAscii" w:hAnsiTheme="minorAscii"/>
      <w:sz w:val="32"/>
      <w:szCs w:val="32"/>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_Style 2"/>
    <w:qFormat/>
    <w:uiPriority w:val="0"/>
    <w:pPr>
      <w:widowControl w:val="0"/>
      <w:spacing w:line="351" w:lineRule="atLeast"/>
      <w:ind w:firstLine="623"/>
      <w:jc w:val="both"/>
      <w:textAlignment w:val="baseline"/>
    </w:pPr>
    <w:rPr>
      <w:rFonts w:eastAsia="仿宋_GB2312" w:asciiTheme="minorHAnsi" w:hAnsiTheme="minorHAnsi" w:cstheme="minorBidi"/>
      <w:color w:val="000000"/>
      <w:kern w:val="2"/>
      <w:sz w:val="3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2054</Words>
  <Characters>2149</Characters>
  <Lines>0</Lines>
  <Paragraphs>0</Paragraphs>
  <TotalTime>2</TotalTime>
  <ScaleCrop>false</ScaleCrop>
  <LinksUpToDate>false</LinksUpToDate>
  <CharactersWithSpaces>2418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2021-07-05T01:56:00Z</dcterms:created>
  <dc:creator>朱文孝</dc:creator>
  <cp:lastModifiedBy>芜湖经信</cp:lastModifiedBy>
  <cp:lastPrinted>2024-07-11T03:45:00Z</cp:lastPrinted>
  <dcterms:modified xsi:type="dcterms:W3CDTF">2024-07-11T07:29:42Z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E7CE046626784D4F8EB52F6185BADBA2</vt:lpwstr>
  </property>
</Properties>
</file>