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Lines/>
        <w:widowControl/>
        <w:snapToGrid/>
        <w:spacing w:before="260" w:beforeAutospacing="0" w:after="260" w:afterAutospacing="0" w:line="540" w:lineRule="exact"/>
        <w:jc w:val="both"/>
        <w:textAlignment w:val="baseline"/>
        <w:rPr>
          <w:rStyle w:val="6"/>
          <w:rFonts w:hint="eastAsia" w:ascii="黑体" w:hAnsi="黑体" w:eastAsia="黑体" w:cs="黑体"/>
          <w:b w:val="0"/>
          <w:bCs w:val="0"/>
          <w:i w:val="0"/>
          <w:caps w:val="0"/>
          <w:spacing w:val="0"/>
          <w:w w:val="100"/>
          <w:kern w:val="2"/>
          <w:sz w:val="32"/>
          <w:szCs w:val="32"/>
          <w:lang w:val="en-US" w:eastAsia="zh-CN" w:bidi="ar-SA"/>
        </w:rPr>
      </w:pPr>
      <w:r>
        <w:rPr>
          <w:rStyle w:val="6"/>
          <w:rFonts w:hint="eastAsia" w:ascii="黑体" w:hAnsi="黑体" w:eastAsia="黑体" w:cs="黑体"/>
          <w:b w:val="0"/>
          <w:bCs w:val="0"/>
          <w:i w:val="0"/>
          <w:caps w:val="0"/>
          <w:spacing w:val="0"/>
          <w:w w:val="100"/>
          <w:kern w:val="2"/>
          <w:sz w:val="32"/>
          <w:szCs w:val="32"/>
          <w:lang w:val="en-US" w:eastAsia="zh-CN" w:bidi="ar-SA"/>
        </w:rPr>
        <w:t>附件2</w:t>
      </w:r>
    </w:p>
    <w:tbl>
      <w:tblPr>
        <w:tblStyle w:val="3"/>
        <w:tblW w:w="14004" w:type="dxa"/>
        <w:tblInd w:w="-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9"/>
        <w:gridCol w:w="972"/>
        <w:gridCol w:w="972"/>
        <w:gridCol w:w="8676"/>
        <w:gridCol w:w="810"/>
        <w:gridCol w:w="900"/>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14004" w:type="dxa"/>
            <w:gridSpan w:val="7"/>
            <w:tcBorders>
              <w:top w:val="nil"/>
              <w:left w:val="nil"/>
              <w:bottom w:val="nil"/>
              <w:right w:val="nil"/>
            </w:tcBorders>
            <w:noWrap/>
            <w:vAlign w:val="center"/>
          </w:tcPr>
          <w:p>
            <w:pPr>
              <w:widowControl/>
              <w:snapToGrid/>
              <w:spacing w:before="0" w:beforeAutospacing="0" w:after="0" w:afterAutospacing="0" w:line="240" w:lineRule="auto"/>
              <w:jc w:val="center"/>
              <w:textAlignment w:val="center"/>
              <w:rPr>
                <w:rStyle w:val="6"/>
                <w:rFonts w:ascii="宋体" w:hAnsi="宋体" w:eastAsia="宋体"/>
                <w:b/>
                <w:i w:val="0"/>
                <w:caps w:val="0"/>
                <w:color w:val="000000"/>
                <w:spacing w:val="0"/>
                <w:w w:val="100"/>
                <w:kern w:val="2"/>
                <w:sz w:val="36"/>
                <w:szCs w:val="36"/>
                <w:lang w:val="en-US" w:eastAsia="zh-CN" w:bidi="ar-SA"/>
              </w:rPr>
            </w:pPr>
            <w:r>
              <w:rPr>
                <w:rStyle w:val="6"/>
                <w:rFonts w:ascii="宋体" w:hAnsi="宋体" w:eastAsia="宋体"/>
                <w:b/>
                <w:i w:val="0"/>
                <w:caps w:val="0"/>
                <w:color w:val="000000"/>
                <w:spacing w:val="0"/>
                <w:w w:val="100"/>
                <w:kern w:val="0"/>
                <w:sz w:val="36"/>
                <w:szCs w:val="36"/>
                <w:lang w:val="en-US" w:eastAsia="zh-CN"/>
              </w:rPr>
              <w:t>芜湖市绿色工厂自评价评分表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72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i w:val="0"/>
                <w:caps w:val="0"/>
                <w:color w:val="000000"/>
                <w:spacing w:val="0"/>
                <w:w w:val="100"/>
                <w:kern w:val="2"/>
                <w:sz w:val="22"/>
                <w:szCs w:val="22"/>
                <w:lang w:val="en-US" w:eastAsia="zh-CN" w:bidi="ar-SA"/>
              </w:rPr>
            </w:pPr>
            <w:r>
              <w:rPr>
                <w:rStyle w:val="6"/>
                <w:rFonts w:ascii="宋体" w:hAnsi="宋体" w:eastAsia="宋体"/>
                <w:b/>
                <w:i w:val="0"/>
                <w:caps w:val="0"/>
                <w:color w:val="000000"/>
                <w:spacing w:val="0"/>
                <w:w w:val="100"/>
                <w:kern w:val="0"/>
                <w:sz w:val="22"/>
                <w:szCs w:val="22"/>
                <w:lang w:val="en-US" w:eastAsia="zh-CN"/>
              </w:rPr>
              <w:t>序号</w:t>
            </w:r>
          </w:p>
        </w:tc>
        <w:tc>
          <w:tcPr>
            <w:tcW w:w="97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i w:val="0"/>
                <w:caps w:val="0"/>
                <w:color w:val="000000"/>
                <w:spacing w:val="0"/>
                <w:w w:val="100"/>
                <w:kern w:val="2"/>
                <w:sz w:val="22"/>
                <w:szCs w:val="22"/>
                <w:lang w:val="en-US" w:eastAsia="zh-CN" w:bidi="ar-SA"/>
              </w:rPr>
            </w:pPr>
            <w:r>
              <w:rPr>
                <w:rStyle w:val="6"/>
                <w:rFonts w:ascii="宋体" w:hAnsi="宋体" w:eastAsia="宋体"/>
                <w:b/>
                <w:i w:val="0"/>
                <w:caps w:val="0"/>
                <w:color w:val="000000"/>
                <w:spacing w:val="0"/>
                <w:w w:val="100"/>
                <w:kern w:val="0"/>
                <w:sz w:val="22"/>
                <w:szCs w:val="22"/>
                <w:lang w:val="en-US" w:eastAsia="zh-CN"/>
              </w:rPr>
              <w:t>一级指标</w:t>
            </w:r>
          </w:p>
        </w:tc>
        <w:tc>
          <w:tcPr>
            <w:tcW w:w="97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i w:val="0"/>
                <w:caps w:val="0"/>
                <w:color w:val="000000"/>
                <w:spacing w:val="0"/>
                <w:w w:val="100"/>
                <w:kern w:val="2"/>
                <w:sz w:val="22"/>
                <w:szCs w:val="22"/>
                <w:lang w:val="en-US" w:eastAsia="zh-CN" w:bidi="ar-SA"/>
              </w:rPr>
            </w:pPr>
            <w:r>
              <w:rPr>
                <w:rStyle w:val="6"/>
                <w:rFonts w:ascii="宋体" w:hAnsi="宋体" w:eastAsia="宋体"/>
                <w:b/>
                <w:i w:val="0"/>
                <w:caps w:val="0"/>
                <w:color w:val="000000"/>
                <w:spacing w:val="0"/>
                <w:w w:val="100"/>
                <w:kern w:val="0"/>
                <w:sz w:val="22"/>
                <w:szCs w:val="22"/>
                <w:lang w:val="en-US" w:eastAsia="zh-CN"/>
              </w:rPr>
              <w:t>二级指标</w:t>
            </w:r>
          </w:p>
        </w:tc>
        <w:tc>
          <w:tcPr>
            <w:tcW w:w="867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i w:val="0"/>
                <w:caps w:val="0"/>
                <w:color w:val="000000"/>
                <w:spacing w:val="0"/>
                <w:w w:val="100"/>
                <w:kern w:val="2"/>
                <w:sz w:val="22"/>
                <w:szCs w:val="22"/>
                <w:lang w:val="en-US" w:eastAsia="zh-CN" w:bidi="ar-SA"/>
              </w:rPr>
            </w:pPr>
            <w:r>
              <w:rPr>
                <w:rStyle w:val="6"/>
                <w:rFonts w:ascii="宋体" w:hAnsi="宋体" w:eastAsia="宋体"/>
                <w:b/>
                <w:i w:val="0"/>
                <w:caps w:val="0"/>
                <w:color w:val="000000"/>
                <w:spacing w:val="0"/>
                <w:w w:val="100"/>
                <w:kern w:val="0"/>
                <w:sz w:val="22"/>
                <w:szCs w:val="22"/>
                <w:lang w:val="en-US" w:eastAsia="zh-CN"/>
              </w:rPr>
              <w:t>具体评价要求</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i w:val="0"/>
                <w:caps w:val="0"/>
                <w:color w:val="000000"/>
                <w:spacing w:val="0"/>
                <w:w w:val="100"/>
                <w:kern w:val="2"/>
                <w:sz w:val="22"/>
                <w:szCs w:val="22"/>
                <w:lang w:val="en-US" w:eastAsia="zh-CN" w:bidi="ar-SA"/>
              </w:rPr>
            </w:pPr>
            <w:r>
              <w:rPr>
                <w:rStyle w:val="6"/>
                <w:rFonts w:ascii="宋体" w:hAnsi="宋体" w:eastAsia="宋体"/>
                <w:b/>
                <w:i w:val="0"/>
                <w:caps w:val="0"/>
                <w:color w:val="000000"/>
                <w:spacing w:val="0"/>
                <w:w w:val="100"/>
                <w:kern w:val="0"/>
                <w:sz w:val="22"/>
                <w:szCs w:val="22"/>
                <w:lang w:val="en-US" w:eastAsia="zh-CN"/>
              </w:rPr>
              <w:t>分值</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i w:val="0"/>
                <w:caps w:val="0"/>
                <w:color w:val="000000"/>
                <w:spacing w:val="0"/>
                <w:w w:val="100"/>
                <w:kern w:val="2"/>
                <w:sz w:val="22"/>
                <w:szCs w:val="22"/>
                <w:lang w:val="en-US" w:eastAsia="zh-CN" w:bidi="ar-SA"/>
              </w:rPr>
            </w:pPr>
            <w:r>
              <w:rPr>
                <w:rStyle w:val="6"/>
                <w:rFonts w:ascii="宋体" w:hAnsi="宋体" w:eastAsia="宋体"/>
                <w:b/>
                <w:i w:val="0"/>
                <w:caps w:val="0"/>
                <w:color w:val="000000"/>
                <w:spacing w:val="0"/>
                <w:w w:val="100"/>
                <w:kern w:val="0"/>
                <w:sz w:val="22"/>
                <w:szCs w:val="22"/>
                <w:lang w:val="en-US" w:eastAsia="zh-CN"/>
              </w:rPr>
              <w:t>自评得分</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i w:val="0"/>
                <w:caps w:val="0"/>
                <w:color w:val="000000"/>
                <w:spacing w:val="0"/>
                <w:w w:val="100"/>
                <w:kern w:val="2"/>
                <w:sz w:val="22"/>
                <w:szCs w:val="22"/>
                <w:lang w:val="en-US" w:eastAsia="zh-CN" w:bidi="ar-SA"/>
              </w:rPr>
            </w:pPr>
            <w:r>
              <w:rPr>
                <w:rStyle w:val="6"/>
                <w:rFonts w:ascii="宋体" w:hAnsi="宋体" w:eastAsia="宋体"/>
                <w:b/>
                <w:i w:val="0"/>
                <w:caps w:val="0"/>
                <w:color w:val="000000"/>
                <w:spacing w:val="0"/>
                <w:w w:val="100"/>
                <w:kern w:val="0"/>
                <w:sz w:val="22"/>
                <w:szCs w:val="22"/>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1</w:t>
            </w:r>
          </w:p>
        </w:tc>
        <w:tc>
          <w:tcPr>
            <w:tcW w:w="972"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0"/>
                <w:sz w:val="22"/>
                <w:szCs w:val="22"/>
                <w:lang w:val="en-US" w:eastAsia="zh-CN"/>
              </w:rPr>
            </w:pPr>
            <w:r>
              <w:rPr>
                <w:rStyle w:val="6"/>
                <w:rFonts w:ascii="宋体" w:hAnsi="宋体" w:eastAsia="宋体"/>
                <w:b w:val="0"/>
                <w:i w:val="0"/>
                <w:caps w:val="0"/>
                <w:color w:val="000000"/>
                <w:spacing w:val="0"/>
                <w:w w:val="100"/>
                <w:kern w:val="0"/>
                <w:sz w:val="22"/>
                <w:szCs w:val="22"/>
                <w:lang w:val="en-US" w:eastAsia="zh-CN"/>
              </w:rPr>
              <w:t>基础</w:t>
            </w:r>
          </w:p>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设施</w:t>
            </w:r>
          </w:p>
        </w:tc>
        <w:tc>
          <w:tcPr>
            <w:tcW w:w="972"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建筑</w:t>
            </w:r>
          </w:p>
        </w:tc>
        <w:tc>
          <w:tcPr>
            <w:tcW w:w="867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工厂的建筑应满足国家或地方相关法律法规及标准的要求。</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8</w:t>
            </w: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867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新建、改建和扩建建筑时，应遵守国家“固定资产投资项目节能评估审查制度”、“三同时 制度”、“工业项目建设用地控制指标”等产 业政策和有关要求。</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6</w:t>
            </w: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867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厂房内部装饰装修材料中醛、苯、氨、氡等有害物质应符合国家和地方法律、标准要求。</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3</w:t>
            </w: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5" w:hRule="atLeast"/>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867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危险品仓库、有毒有害操作间、废弃物处理间等产生污染物的房间应独立设置。</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3</w:t>
            </w: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照明</w:t>
            </w:r>
          </w:p>
        </w:tc>
        <w:tc>
          <w:tcPr>
            <w:tcW w:w="867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人工照明应符合 GB 50034 规定。</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7</w:t>
            </w: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0"/>
                <w:sz w:val="22"/>
                <w:szCs w:val="22"/>
                <w:lang w:val="en-US" w:eastAsia="zh-CN"/>
              </w:rPr>
            </w:pPr>
            <w:r>
              <w:rPr>
                <w:rStyle w:val="6"/>
                <w:rFonts w:ascii="宋体" w:hAnsi="宋体" w:eastAsia="宋体"/>
                <w:b w:val="0"/>
                <w:i w:val="0"/>
                <w:caps w:val="0"/>
                <w:color w:val="000000"/>
                <w:spacing w:val="0"/>
                <w:w w:val="100"/>
                <w:kern w:val="0"/>
                <w:sz w:val="22"/>
                <w:szCs w:val="22"/>
                <w:lang w:val="en-US" w:eastAsia="zh-CN"/>
              </w:rPr>
              <w:t>设备</w:t>
            </w:r>
          </w:p>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实施</w:t>
            </w:r>
          </w:p>
        </w:tc>
        <w:tc>
          <w:tcPr>
            <w:tcW w:w="867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工厂使用的专用设备应符合产业准入要求，降低能源与资源消耗，减少污染物排放。</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5</w:t>
            </w: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867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工厂使用的通用设备应达到相关标准中能效限定值的强制性要求。已明令禁止生产、使用的和能耗高、效率低的设备应限期淘汰更新。</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5</w:t>
            </w: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867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工厂使用的通用设备或其系统的实际运行效率或主要运行参数应符合该设备经济运行的要求。</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5</w:t>
            </w: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867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工厂应依据GB 17167、GB24789等要求配备、使用和管理能源、水以及其他资源的计量器具和装置。</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5</w:t>
            </w: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867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5</w:t>
            </w: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867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必要时，工厂应投入适宜的污染物处理设备，以确保其污染物排放达到相关法律法规及标准要求。污染物处理设备的处理能力应与工厂生产排放相适应，设备应满足通用设备的节能方面的要求。</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5</w:t>
            </w: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2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2</w:t>
            </w:r>
          </w:p>
        </w:tc>
        <w:tc>
          <w:tcPr>
            <w:tcW w:w="972"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0"/>
                <w:sz w:val="22"/>
                <w:szCs w:val="22"/>
                <w:lang w:val="en-US" w:eastAsia="zh-CN"/>
              </w:rPr>
            </w:pPr>
            <w:r>
              <w:rPr>
                <w:rStyle w:val="6"/>
                <w:rFonts w:ascii="宋体" w:hAnsi="宋体" w:eastAsia="宋体"/>
                <w:b w:val="0"/>
                <w:i w:val="0"/>
                <w:caps w:val="0"/>
                <w:color w:val="000000"/>
                <w:spacing w:val="0"/>
                <w:w w:val="100"/>
                <w:kern w:val="0"/>
                <w:sz w:val="22"/>
                <w:szCs w:val="22"/>
                <w:lang w:val="en-US" w:eastAsia="zh-CN"/>
              </w:rPr>
              <w:t>管理</w:t>
            </w:r>
          </w:p>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体系</w:t>
            </w:r>
          </w:p>
        </w:tc>
        <w:tc>
          <w:tcPr>
            <w:tcW w:w="97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环境管理体系</w:t>
            </w:r>
          </w:p>
        </w:tc>
        <w:tc>
          <w:tcPr>
            <w:tcW w:w="867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工厂建立、实施并保持满足GB/T 24001要求的环境管理体系。</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20</w:t>
            </w: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能源管理体系</w:t>
            </w:r>
          </w:p>
        </w:tc>
        <w:tc>
          <w:tcPr>
            <w:tcW w:w="867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工厂建立、实施并保持满足GB/T 23331要求的能源管理体系。</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20</w:t>
            </w: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3</w:t>
            </w:r>
          </w:p>
        </w:tc>
        <w:tc>
          <w:tcPr>
            <w:tcW w:w="972"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能源资源投入</w:t>
            </w:r>
          </w:p>
        </w:tc>
        <w:tc>
          <w:tcPr>
            <w:tcW w:w="97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0"/>
                <w:sz w:val="22"/>
                <w:szCs w:val="22"/>
                <w:lang w:val="en-US" w:eastAsia="zh-CN"/>
              </w:rPr>
            </w:pPr>
            <w:r>
              <w:rPr>
                <w:rStyle w:val="6"/>
                <w:rFonts w:ascii="宋体" w:hAnsi="宋体" w:eastAsia="宋体"/>
                <w:b w:val="0"/>
                <w:i w:val="0"/>
                <w:caps w:val="0"/>
                <w:color w:val="000000"/>
                <w:spacing w:val="0"/>
                <w:w w:val="100"/>
                <w:kern w:val="0"/>
                <w:sz w:val="22"/>
                <w:szCs w:val="22"/>
                <w:lang w:val="en-US" w:eastAsia="zh-CN"/>
              </w:rPr>
              <w:t>能源</w:t>
            </w:r>
          </w:p>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投入</w:t>
            </w:r>
          </w:p>
        </w:tc>
        <w:tc>
          <w:tcPr>
            <w:tcW w:w="867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工厂应优化用能结构，在保证安全、质量的前提下减少能源消耗。</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10</w:t>
            </w: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0"/>
                <w:sz w:val="22"/>
                <w:szCs w:val="22"/>
                <w:lang w:val="en-US" w:eastAsia="zh-CN"/>
              </w:rPr>
            </w:pPr>
            <w:r>
              <w:rPr>
                <w:rStyle w:val="6"/>
                <w:rFonts w:ascii="宋体" w:hAnsi="宋体" w:eastAsia="宋体"/>
                <w:b w:val="0"/>
                <w:i w:val="0"/>
                <w:caps w:val="0"/>
                <w:color w:val="000000"/>
                <w:spacing w:val="0"/>
                <w:w w:val="100"/>
                <w:kern w:val="0"/>
                <w:sz w:val="22"/>
                <w:szCs w:val="22"/>
                <w:lang w:val="en-US" w:eastAsia="zh-CN"/>
              </w:rPr>
              <w:t>资源</w:t>
            </w:r>
          </w:p>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投入</w:t>
            </w:r>
          </w:p>
        </w:tc>
        <w:tc>
          <w:tcPr>
            <w:tcW w:w="867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工厂应按照 GB/T7119 的要求对其开展节水评价工作，且满足 GB/T18916（所有部分）中对应本行业的取水定额要求。</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10</w:t>
            </w: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867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工厂应减少材料、尤其是有害物质的使用，评估有害物质及化学品减量使用或替代的可行性。</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10</w:t>
            </w: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867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工厂应按照 GB/T 29115 的要求对其原材料使用量的减少进行评价。</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10</w:t>
            </w: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4</w:t>
            </w:r>
          </w:p>
        </w:tc>
        <w:tc>
          <w:tcPr>
            <w:tcW w:w="972"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产品</w:t>
            </w:r>
          </w:p>
        </w:tc>
        <w:tc>
          <w:tcPr>
            <w:tcW w:w="97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0"/>
                <w:sz w:val="22"/>
                <w:szCs w:val="22"/>
                <w:lang w:val="en-US" w:eastAsia="zh-CN"/>
              </w:rPr>
            </w:pPr>
            <w:r>
              <w:rPr>
                <w:rStyle w:val="6"/>
                <w:rFonts w:ascii="宋体" w:hAnsi="宋体" w:eastAsia="宋体"/>
                <w:b w:val="0"/>
                <w:i w:val="0"/>
                <w:caps w:val="0"/>
                <w:color w:val="000000"/>
                <w:spacing w:val="0"/>
                <w:w w:val="100"/>
                <w:kern w:val="0"/>
                <w:sz w:val="22"/>
                <w:szCs w:val="22"/>
                <w:lang w:val="en-US" w:eastAsia="zh-CN"/>
              </w:rPr>
              <w:t>生态</w:t>
            </w:r>
          </w:p>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设计</w:t>
            </w:r>
          </w:p>
        </w:tc>
        <w:tc>
          <w:tcPr>
            <w:tcW w:w="867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工厂在产品设计中引入生态设计的理念。</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30</w:t>
            </w: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有害物质使用</w:t>
            </w:r>
          </w:p>
        </w:tc>
        <w:tc>
          <w:tcPr>
            <w:tcW w:w="867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工厂生产的产品（包括原料和辅料）应减少有害物质的使用，避免有害物质的泄露，满足国家对产品中有害物质限制使用的要求。</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15</w:t>
            </w: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节能</w:t>
            </w:r>
          </w:p>
        </w:tc>
        <w:tc>
          <w:tcPr>
            <w:tcW w:w="867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工厂生产的产品若为用能产品或在使用过程中对最终产品/构造的能耗有影响的产品，适用时，应满足相关标准的限定值要求。未制定标准的，产品能效应不低于行业平均值。</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15</w:t>
            </w: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2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5</w:t>
            </w:r>
          </w:p>
        </w:tc>
        <w:tc>
          <w:tcPr>
            <w:tcW w:w="972"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环境排放</w:t>
            </w:r>
          </w:p>
        </w:tc>
        <w:tc>
          <w:tcPr>
            <w:tcW w:w="97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大气污染物排放</w:t>
            </w:r>
          </w:p>
        </w:tc>
        <w:tc>
          <w:tcPr>
            <w:tcW w:w="867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工厂的大气污染物排放应符合相关国家标准、行业标准及地方标准要求，并满足区域内排放总量控制要求。</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15</w:t>
            </w: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水土污染物排放</w:t>
            </w:r>
          </w:p>
        </w:tc>
        <w:tc>
          <w:tcPr>
            <w:tcW w:w="867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工厂的水体污染物排放应符合相关国家标准、行业标准及地方标准要求，或在满足要求的前提下委托具备相应能力和资质的处理厂进行处理，并满足区域内排放总量控制要求。</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15</w:t>
            </w: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固态废弃物排放</w:t>
            </w:r>
          </w:p>
        </w:tc>
        <w:tc>
          <w:tcPr>
            <w:tcW w:w="867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工厂产生的固体废弃物的处理应符合 GB18599 及相关标准的要求。工厂无法自行处理的，应将固体废弃物转交给具备相应能力和资质的处理厂进行处理。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10</w:t>
            </w: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0"/>
                <w:sz w:val="22"/>
                <w:szCs w:val="22"/>
                <w:lang w:val="en-US" w:eastAsia="zh-CN"/>
              </w:rPr>
            </w:pPr>
            <w:r>
              <w:rPr>
                <w:rStyle w:val="6"/>
                <w:rFonts w:ascii="宋体" w:hAnsi="宋体" w:eastAsia="宋体"/>
                <w:b w:val="0"/>
                <w:i w:val="0"/>
                <w:caps w:val="0"/>
                <w:color w:val="000000"/>
                <w:spacing w:val="0"/>
                <w:w w:val="100"/>
                <w:kern w:val="0"/>
                <w:sz w:val="22"/>
                <w:szCs w:val="22"/>
                <w:lang w:val="en-US" w:eastAsia="zh-CN"/>
              </w:rPr>
              <w:t>噪音</w:t>
            </w:r>
          </w:p>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排放</w:t>
            </w:r>
          </w:p>
        </w:tc>
        <w:tc>
          <w:tcPr>
            <w:tcW w:w="867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工厂的厂界环境噪声排放应符合相关国家标准、行业标准及地方标准要求。</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10</w:t>
            </w: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72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6</w:t>
            </w:r>
          </w:p>
        </w:tc>
        <w:tc>
          <w:tcPr>
            <w:tcW w:w="972"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绩效</w:t>
            </w:r>
          </w:p>
        </w:tc>
        <w:tc>
          <w:tcPr>
            <w:tcW w:w="972"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用地集约化</w:t>
            </w:r>
          </w:p>
        </w:tc>
        <w:tc>
          <w:tcPr>
            <w:tcW w:w="867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按照 GB/T 36132 附录 A 计算工厂容积率，指标应不低于《工业项目建设用地控制指标》的要求。</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3</w:t>
            </w: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867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按照 GB/T 36132 附录 A 计算工厂建筑密度，建筑密度不低于 30%。</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3</w:t>
            </w: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867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工厂的单位用地面积产能应不低于行业平均水平；或：工厂的单位用地面积产值不低于地方发布的单位用地面积产值的要求；未发布单位用地面积产值的地区，单位用地面积产值应 超过本年度所在省市的单位用地面积产值。</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3</w:t>
            </w: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原料无害化</w:t>
            </w:r>
          </w:p>
        </w:tc>
        <w:tc>
          <w:tcPr>
            <w:tcW w:w="867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按照 GB/T 36132 附录 A 识别、统计和计算工厂的绿色物料使用情况。</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6</w:t>
            </w: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8" w:hRule="atLeast"/>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生产清洁化</w:t>
            </w:r>
          </w:p>
        </w:tc>
        <w:tc>
          <w:tcPr>
            <w:tcW w:w="867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按照 GB/T 36132 附录 A 计算单位产品主要污染物产生量（包括化学需氧量、氨氮、二氧化硫、氮氧化物等），指标应不高于行业平均水平。（装备、电子、电器等离散制造业可采用单位产值或单位工业增加值指标。）</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6</w:t>
            </w: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867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按照 GB/T 36132 附录 A计算单位产品废气产生量，指标应不高于行业平均水平。（装备、电子、电器等离散制造业可采用单位产值或单位工业增加值指标。）</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6</w:t>
            </w: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867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按照 GB/T 36132 附录 A计算单位产品废水产生量，指标应不高于行业平均水平。（装备、电子、电器等离散制造业可采用单位产值或单位工业增加值指标。）</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6</w:t>
            </w: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废物资源化</w:t>
            </w:r>
          </w:p>
        </w:tc>
        <w:tc>
          <w:tcPr>
            <w:tcW w:w="867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按照 GB/T 36132 附录 A计算单位产品主要原材料消耗量，指标应不高于行业平均水平。</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5</w:t>
            </w: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867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按照 GB/T 36132 附录 A计算工业固体废物综合利用率，指标应大于 65%（根据行业特点,该指标可在±20%之间选取）。</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5</w:t>
            </w: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867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按照 GB/T 36132 附录 A计算废水处理回用率，指标高于行业平均值。</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5</w:t>
            </w: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7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能源低碳化</w:t>
            </w:r>
          </w:p>
        </w:tc>
        <w:tc>
          <w:tcPr>
            <w:tcW w:w="867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按照 GB/T 36132 附录 A计算单位产品综合能耗，指标应符合相关国家、行业标准中的限额要求。未制定相关标准的，应达到行业平均水平。（装备、电子、电器等离散制造业可采用单位产值或单位工业增加值指标。）</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5</w:t>
            </w: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1349"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合  计</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300</w:t>
            </w: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5" w:hRule="atLeast"/>
        </w:trPr>
        <w:tc>
          <w:tcPr>
            <w:tcW w:w="72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2"/>
                <w:sz w:val="22"/>
                <w:szCs w:val="22"/>
                <w:lang w:val="en-US" w:eastAsia="zh-CN" w:bidi="ar-SA"/>
              </w:rPr>
            </w:pPr>
          </w:p>
        </w:tc>
        <w:tc>
          <w:tcPr>
            <w:tcW w:w="13275"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6"/>
                <w:rFonts w:ascii="宋体" w:hAnsi="宋体" w:eastAsia="宋体"/>
                <w:b w:val="0"/>
                <w:i w:val="0"/>
                <w:caps w:val="0"/>
                <w:color w:val="000000"/>
                <w:spacing w:val="0"/>
                <w:w w:val="100"/>
                <w:kern w:val="2"/>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rPr>
              <w:t>注：1.自评价评分表满分300分。2.自评总分为各项自评得分的总和。 2.市级绿色工厂在自评总分达到标准总分70%以上的企业中择优遴选。</w:t>
            </w:r>
          </w:p>
        </w:tc>
      </w:tr>
    </w:tbl>
    <w:p>
      <w:bookmarkStart w:id="0" w:name="_GoBack"/>
      <w:bookmarkEnd w:id="0"/>
    </w:p>
    <w:sectPr>
      <w:pgSz w:w="16838" w:h="11906" w:orient="landscape"/>
      <w:pgMar w:top="1361" w:right="1417" w:bottom="1361"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ZjZhNjljNzFmY2VjOTdkZmZjN2M2Njc5YTdlMWYifQ=="/>
  </w:docVars>
  <w:rsids>
    <w:rsidRoot w:val="00000000"/>
    <w:rsid w:val="45634919"/>
    <w:rsid w:val="7D174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spacing w:line="600" w:lineRule="exact"/>
      <w:jc w:val="both"/>
      <w:textAlignment w:val="baseline"/>
    </w:pPr>
    <w:rPr>
      <w:rFonts w:ascii="Calibri" w:hAnsi="Calibri" w:eastAsia="仿宋_GB2312" w:cstheme="minorBidi"/>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2"/>
    <w:basedOn w:val="1"/>
    <w:uiPriority w:val="0"/>
    <w:pPr>
      <w:spacing w:after="120" w:afterLines="0" w:afterAutospacing="0" w:line="480" w:lineRule="auto"/>
    </w:pPr>
  </w:style>
  <w:style w:type="paragraph" w:customStyle="1" w:styleId="5">
    <w:name w:val="UserStyle_0"/>
    <w:basedOn w:val="1"/>
    <w:next w:val="1"/>
    <w:autoRedefine/>
    <w:qFormat/>
    <w:uiPriority w:val="0"/>
    <w:pPr>
      <w:keepNext/>
      <w:keepLines/>
      <w:spacing w:before="260" w:after="260" w:line="416" w:lineRule="auto"/>
      <w:jc w:val="both"/>
      <w:textAlignment w:val="baseline"/>
    </w:pPr>
    <w:rPr>
      <w:rFonts w:ascii="Cambria" w:hAnsi="Cambria" w:eastAsia="宋体" w:cs="Cambria"/>
      <w:b/>
      <w:bCs/>
      <w:kern w:val="2"/>
      <w:sz w:val="32"/>
      <w:szCs w:val="32"/>
      <w:lang w:val="en-US" w:eastAsia="zh-CN" w:bidi="ar-SA"/>
    </w:rPr>
  </w:style>
  <w:style w:type="character" w:customStyle="1" w:styleId="6">
    <w:name w:val="NormalCharacter"/>
    <w:link w:val="1"/>
    <w:autoRedefine/>
    <w:semiHidden/>
    <w:qFormat/>
    <w:uiPriority w:val="0"/>
    <w:rPr>
      <w:rFonts w:ascii="Calibri" w:hAnsi="Calibri" w:eastAsia="仿宋_GB2312"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2023-12-12T00:30:00Z</dcterms:created>
  <dc:creator>Administrator</dc:creator>
  <cp:lastModifiedBy>素心不泯</cp:lastModifiedBy>
  <dcterms:modified xsi:type="dcterms:W3CDTF">2024-03-04T03:31:00Z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CB796E12B34747979D40F1AE20720D21_12</vt:lpwstr>
  </property>
</Properties>
</file>