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36"/>
          <w:szCs w:val="36"/>
          <w:lang w:eastAsia="zh-CN"/>
        </w:rPr>
        <w:t>定期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36"/>
          <w:szCs w:val="36"/>
        </w:rPr>
        <w:t>评估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36"/>
          <w:szCs w:val="36"/>
          <w:lang w:eastAsia="zh-CN"/>
        </w:rPr>
        <w:t>省实验室、省技术创新中心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36"/>
          <w:szCs w:val="36"/>
        </w:rPr>
        <w:t>名单</w:t>
      </w:r>
      <w:bookmarkEnd w:id="0"/>
    </w:p>
    <w:tbl>
      <w:tblPr>
        <w:tblStyle w:val="4"/>
        <w:tblW w:w="88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673"/>
        <w:gridCol w:w="3062"/>
        <w:gridCol w:w="1064"/>
        <w:gridCol w:w="11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实验室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依托单位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所在市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认定时间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量子信息科学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中科院量子信息与量子科技创新研究院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磁约束聚变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中科院合肥物质科学研究院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先进光子科学技术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中国科学技术大学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强磁场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中科院合肥物质科学研究院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微尺度物质科学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中国科学技术大学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茶树生物学与资源利用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安徽农业大学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硅基材料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中建材蚌埠玻璃工业设计研究院有限公司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蚌埠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压缩机技术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合肥通用机械研究院有限公司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深部煤矿采动响应与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灾害防控安徽省实验室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安徽理工大学、淮南矿业（集团）有限责任公司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淮南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先进激光技术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安徽省实验室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国防科技大学电子对抗学院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动态随机存储器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安徽省技术创新中心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长鑫存储技术有限公司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压力容器与管道安全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安徽省技术创新中心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合肥通用机械研究院有限公司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合肥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生物基可降解材料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安徽省技术创新中心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安徽丰原集团有限公司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蚌埠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轨道交通关键零部件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安徽省技术创新中心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马钢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（集团）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控股有限公司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马鞍山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2020年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2"/>
          <w:szCs w:val="28"/>
          <w:lang w:val="en-US" w:eastAsia="zh-CN"/>
        </w:rPr>
        <w:t>*备注：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highlight w:val="none"/>
        </w:rPr>
        <w:t>量子信息科学安徽省实验室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szCs w:val="22"/>
          <w:highlight w:val="none"/>
        </w:rPr>
        <w:t>压缩机技术安徽省实验室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  <w:t>只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  <w:t>需报送材料，不参加评审。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73250"/>
    <w:rsid w:val="4EE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2023-04-07T12:01:00Z</dcterms:created>
  <dc:creator>ygc</dc:creator>
  <cp:lastModifiedBy>ygc</cp:lastModifiedBy>
  <dcterms:modified xsi:type="dcterms:W3CDTF">2023-04-07T12:01:47Z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